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200"/>
        <w:gridCol w:w="66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val="clear"/>
            <w:tcMar>
              <w:top w:type="dxa" w:w="120"/>
              <w:left w:type="dxa" w:w="200"/>
              <w:bottom w:type="dxa" w:w="120"/>
              <w:right w:type="dxa" w:w="10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80975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val="clear"/>
            <w:tcMar>
              <w:top w:type="dxa" w:w="120"/>
              <w:left w:type="dxa" w:w="100"/>
              <w:bottom w:type="dxa" w:w="120"/>
              <w:right w:type="dxa" w:w="200"/>
            </w:tcMar>
            <w:vAlign w:val="center"/>
          </w:tcPr>
          <w:p>
            <w:pPr>
              <w:spacing w:after="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SEWP VI Partner Profile — TES Consultants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7B801"/>
                <w:sz w:val="16"/>
                <w:szCs w:val="16"/>
              </w:rPr>
              <w:t xml:space="preserve">Capability Keywords &amp; Company Information  •  August 2026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2E2E2E"/>
          <w:sz w:val="16"/>
          <w:szCs w:val="16"/>
        </w:rPr>
        <w:t xml:space="preserve">Prepared for the TES SEWP VI Partner Capability Catalog and opportunity-matching automation engine (SEWP VI GWAC, Category C — ITC/AV Mission-Based Services). Keywords are grouped by capability domain; individual terms are semicolon-delimited for direct ingestion.</w:t>
      </w:r>
    </w:p>
    <w:p>
      <w:pPr>
        <w:pBdr>
          <w:bottom w:val="single" w:color="2EA891" w:sz="8" w:space="2"/>
        </w:pBdr>
        <w:spacing w:after="70" w:before="180"/>
      </w:pPr>
      <w:r>
        <w:rPr>
          <w:rFonts w:ascii="Arial" w:cs="Arial" w:eastAsia="Arial" w:hAnsi="Arial"/>
          <w:b/>
          <w:bCs/>
          <w:color w:val="232D5A"/>
          <w:sz w:val="21"/>
          <w:szCs w:val="21"/>
        </w:rPr>
        <w:t xml:space="preserve">CAPABILITY KEYWORDS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Healthcare IT &amp; Interoperability</w:t>
            </w:r>
          </w:p>
        </w:tc>
        <w:tc>
          <w:tcPr>
            <w:tcW w:type="dxa" w:w="7800"/>
            <w:shd w:fill="F0F0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healthcare IT; health IT modernization; EHR integration; EMR; Epic; HL7; FHIR; HL7 v2; FHIR API; interoperability; 21st Century Cures Act; patient portal; patient access; telehealth; clinical data integration; health information exchange; prior authorization API; CMS interoperability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Medicaid &amp; Health Programs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Medicaid modernization; MITA; MMIS; MES; claims processing; fiscal reporting; eligibility systems; state health IT; CMS compliance; healthcare claims; provider data management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AI / ML &amp; Document Intelligence</w:t>
            </w:r>
          </w:p>
        </w:tc>
        <w:tc>
          <w:tcPr>
            <w:tcW w:type="dxa" w:w="7800"/>
            <w:shd w:fill="F0F0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artificial intelligence; machine learning; AI/ML; intelligent document processing; document intelligence; OCR; NLP; natural language processing; predictive analytics; workflow automation; AI governance; NIST AI RMF; generative AI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Cloud &amp; DevSecOps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AWS; cloud migration; cloud-native development; serverless; AWS Lambda; AWS Batch; Amazon EMR; microservices; containers; DevSecOps; CI/CD; infrastructure as code; PHI-secure cloud; FedRAMP-aligned architecture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Software Development &amp; Integration</w:t>
            </w:r>
          </w:p>
        </w:tc>
        <w:tc>
          <w:tcPr>
            <w:tcW w:type="dxa" w:w="7800"/>
            <w:shd w:fill="F0F0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custom software development; application development; application modernization; legacy modernization; systems integration; API development; ETL; data pipelines; data engineering; database modernization; agile development; full-stack development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Data &amp; Analytics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data analytics; business intelligence; data warehousing; real-time dashboards; big data; high-volume transaction processing; data visualization; reporting systems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Enterprise ERP</w:t>
            </w:r>
          </w:p>
        </w:tc>
        <w:tc>
          <w:tcPr>
            <w:tcW w:type="dxa" w:w="7800"/>
            <w:shd w:fill="F0F0F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SAP; S/4HANA; SAP S/4HANA; ERP modernization; ERP migration; enterprise applications; enterprise integration</w:t>
            </w:r>
          </w:p>
        </w:tc>
      </w:tr>
      <w:tr>
        <w:tc>
          <w:tcPr>
            <w:tcW w:type="dxa" w:w="3000"/>
            <w:shd w:fill="232D5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Cybersecurity &amp; Compliance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cybersecurity; HIPAA; PHI security; healthcare data security; HITRUST; secure SDLC; security engineering; zero trust; data protection; Section 889; TAA compliant</w:t>
            </w:r>
          </w:p>
        </w:tc>
      </w:tr>
    </w:tbl>
    <w:p>
      <w:pPr>
        <w:pBdr>
          <w:bottom w:val="single" w:color="2EA891" w:sz="8" w:space="2"/>
        </w:pBdr>
        <w:spacing w:after="70" w:before="180"/>
      </w:pPr>
      <w:r>
        <w:rPr>
          <w:rFonts w:ascii="Arial" w:cs="Arial" w:eastAsia="Arial" w:hAnsi="Arial"/>
          <w:b/>
          <w:bCs/>
          <w:color w:val="232D5A"/>
          <w:sz w:val="21"/>
          <w:szCs w:val="21"/>
        </w:rPr>
        <w:t xml:space="preserve">COMPANY INFORMATION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Legal Name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Visionblox LLC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Headquarters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2570 N. First Street, San Jose, CA 95131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CAGE / UEI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9Z4X2  /  H4X2Z7R9E3E3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Socioeconomic Status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Minority-Owned Small Business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Compliance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TAA Compliant; Section 889 Compliant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NAICS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541511 (primary), 541512, 541519, 518210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Business Model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Systems integrator and services provider — custom development, integration, and modernization. Not a COTS reseller or product operator.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Preferred Contract Types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T&amp;M, Labor Hour, Cost-Plus, or FFP for custom development and systems integration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Order Sweet Spot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$500K–$5M task orders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Target Agencies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VA OIT, HHS (CMS, HRSA, IHS), state Medicaid/DOH agencies; open to all SEWP VI ordering activities with healthcare, AI/ML, cloud, or modernization requirements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Teaming Posture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Subcontractor / delivery partner to TES on SEWP VI Category C task orders; niche prime-referral candidate for healthcare-heavy requirements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BD Point of Contact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Khaalis Wooden, MBA — Director of Enterprise Capture &amp; Compliance | khaalis.wooden@visionblox.com | (256) 988-1130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Technical POC (Evaluations)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Antony Jayaraj — Director, Data Engineering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Executive Sponsor</w:t>
            </w:r>
          </w:p>
        </w:tc>
        <w:tc>
          <w:tcPr>
            <w:tcW w:type="dxa" w:w="7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Akil R. Chellam — CEO &amp; Principal Architect (AWS-SAA, PMP) | akil.chellam@visionblox.com | 925-481-4595</w:t>
            </w:r>
          </w:p>
        </w:tc>
      </w:tr>
      <w:tr>
        <w:tc>
          <w:tcPr>
            <w:tcW w:type="dxa" w:w="30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32D5A"/>
                <w:sz w:val="16"/>
                <w:szCs w:val="16"/>
              </w:rPr>
              <w:t xml:space="preserve">Web</w:t>
            </w:r>
          </w:p>
        </w:tc>
        <w:tc>
          <w:tcPr>
            <w:tcW w:type="dxa" w:w="78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2E2E"/>
                <w:sz w:val="16"/>
                <w:szCs w:val="16"/>
              </w:rPr>
              <w:t xml:space="preserve">visionblox.org</w:t>
            </w:r>
          </w:p>
        </w:tc>
      </w:tr>
    </w:tbl>
    <w:sectPr>
      <w:pgSz w:w="12240" w:h="15840" w:orient="portrait"/>
      <w:pgMar w:top="50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8ca476bf971acdca8e6e4580760c15c043b6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2026-08-13T23:06:07.208Z</dcterms:created>
  <dcterms:modified xsi:type="dcterms:W3CDTF">2026-08-13T23:06:07.209Z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