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30"/>
          <w:szCs w:val="30"/>
        </w:rPr>
        <w:t xml:space="preserve">MAPS AWARDEE KICK-OFF — VISIONBLOX BRIEF</w:t>
      </w:r>
    </w:p>
    <w:p>
      <w:pPr>
        <w:pBdr>
          <w:bottom w:val="single" w:color="0F4C81" w:sz="8"/>
        </w:pBdr>
        <w:spacing w:after="130"/>
      </w:pPr>
      <w:r>
        <w:rPr>
          <w:rFonts w:ascii="Calibri" w:cs="Calibri" w:eastAsia="Calibri" w:hAnsi="Calibri"/>
          <w:color w:val="555555"/>
          <w:sz w:val="16"/>
          <w:szCs w:val="16"/>
        </w:rPr>
        <w:t xml:space="preserve">Master AI Products &amp; Services · Contract SPB26-0608GW-VSNBLX (Tracks 1 &amp; 2) · Host: Grace Waring, SPSD · Attendee: K. Wooden, Director of Enterprise Capture &amp; Compliance · One page — internal</w:t>
      </w:r>
    </w:p>
    <w:p>
      <w:pPr>
        <w:spacing w:after="70" w:before="150"/>
      </w:pPr>
      <w:r>
        <w:rPr>
          <w:rFonts w:ascii="Calibri" w:cs="Calibri" w:eastAsia="Calibri" w:hAnsi="Calibri"/>
          <w:b/>
          <w:bCs/>
          <w:color w:val="0F4C81"/>
          <w:sz w:val="21"/>
          <w:szCs w:val="21"/>
        </w:rPr>
        <w:t xml:space="preserve">Objectives (in priority order)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color w:val="1A1A2E"/>
          <w:sz w:val="17"/>
          <w:szCs w:val="17"/>
        </w:rPr>
        <w:t xml:space="preserve">Learn the Tier Two machinery: how agencies discover awardees, where SOWs post, how the three selection bands operate in practice, and whether a demand forecast exists.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A1A2E"/>
          <w:sz w:val="17"/>
          <w:szCs w:val="17"/>
        </w:rPr>
        <w:t xml:space="preserve">Close the two open K1 discovery legs (Montana State Fund, DLI unemployment insurance) with named platform answers or named follow-up contacts.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A1A2E"/>
          <w:sz w:val="17"/>
          <w:szCs w:val="17"/>
        </w:rPr>
        <w:t xml:space="preserve">Open the certification-lane conversation (Exhibit C “other industry-recognized certification, as approved by State”) — every awardee faces this wall; learn what State will accept.</w:t>
      </w:r>
    </w:p>
    <w:p>
      <w:pPr>
        <w:spacing w:after="70" w:before="150"/>
      </w:pPr>
      <w:r>
        <w:rPr>
          <w:rFonts w:ascii="Calibri" w:cs="Calibri" w:eastAsia="Calibri" w:hAnsi="Calibri"/>
          <w:b/>
          <w:bCs/>
          <w:color w:val="0F4C81"/>
          <w:sz w:val="21"/>
          <w:szCs w:val="21"/>
        </w:rPr>
        <w:t xml:space="preserve">Question Card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5470"/>
        <w:gridCol w:w="2400"/>
      </w:tblGrid>
      <w:tr>
        <w:trPr>
          <w:tblHeader/>
        </w:trPr>
        <w:tc>
          <w:tcPr>
            <w:tcW w:type="dxa" w:w="1850"/>
            <w:tcBorders>
              <w:top w:val="single" w:color="D8DEE9" w:sz="4"/>
              <w:left w:val="single" w:color="D8DEE9" w:sz="4"/>
              <w:bottom w:val="single" w:color="D8DEE9" w:sz="4"/>
              <w:right w:val="single" w:color="D8DEE9" w:sz="4"/>
            </w:tcBorders>
            <w:shd w:fill="0F4C8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Target</w:t>
            </w:r>
          </w:p>
        </w:tc>
        <w:tc>
          <w:tcPr>
            <w:tcW w:type="dxa" w:w="5470"/>
            <w:tcBorders>
              <w:top w:val="single" w:color="D8DEE9" w:sz="4"/>
              <w:left w:val="single" w:color="D8DEE9" w:sz="4"/>
              <w:bottom w:val="single" w:color="D8DEE9" w:sz="4"/>
              <w:right w:val="single" w:color="D8DEE9" w:sz="4"/>
            </w:tcBorders>
            <w:shd w:fill="0F4C8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Ask (verbatim-ready)</w:t>
            </w:r>
          </w:p>
        </w:tc>
        <w:tc>
          <w:tcPr>
            <w:tcW w:type="dxa" w:w="2400"/>
            <w:tcBorders>
              <w:top w:val="single" w:color="D8DEE9" w:sz="4"/>
              <w:left w:val="single" w:color="D8DEE9" w:sz="4"/>
              <w:bottom w:val="single" w:color="D8DEE9" w:sz="4"/>
              <w:right w:val="single" w:color="D8DEE9" w:sz="4"/>
            </w:tcBorders>
            <w:shd w:fill="0F4C8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Done when</w:t>
            </w:r>
          </w:p>
        </w:tc>
      </w:tr>
      <w:tr>
        <w:tc>
          <w:tcPr>
            <w:tcW w:type="dxa" w:w="1850"/>
            <w:tcBorders>
              <w:top w:val="single" w:color="D8DEE9" w:sz="4"/>
              <w:left w:val="single" w:color="D8DEE9" w:sz="4"/>
              <w:bottom w:val="single" w:color="D8DEE9" w:sz="4"/>
              <w:right w:val="single" w:color="D8DEE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6"/>
                <w:szCs w:val="16"/>
              </w:rPr>
              <w:t xml:space="preserve">Grace Waring / SPSD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Vehicle mechanics</w:t>
            </w:r>
          </w:p>
        </w:tc>
        <w:tc>
          <w:tcPr>
            <w:tcW w:type="dxa" w:w="5470"/>
            <w:tcBorders>
              <w:top w:val="single" w:color="D8DEE9" w:sz="4"/>
              <w:left w:val="single" w:color="D8DEE9" w:sz="4"/>
              <w:bottom w:val="single" w:color="D8DEE9" w:sz="4"/>
              <w:right w:val="single" w:color="D8DEE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1. “How will ordering agencies discover and solicit awardees — is there a portal, a roster distribution, or agency-by-agency outreach? Do awardees see a demand forecast?”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2. “For cooperative purchasers under Section 15 — what is the MOU process for a county, district, or another state, and who initiates it?”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3. “On Exhibit C security certification — what will the State accept under the ‘other industry-recognized certification, as approved’ clause? Would a CMMC Level 2 self-assessment with a NIST SP 800-171 SSP serve as interim evidence ahead of SOC 2 Type 2?”</w:t>
            </w:r>
          </w:p>
        </w:tc>
        <w:tc>
          <w:tcPr>
            <w:tcW w:type="dxa" w:w="2400"/>
            <w:tcBorders>
              <w:top w:val="single" w:color="D8DEE9" w:sz="4"/>
              <w:left w:val="single" w:color="D8DEE9" w:sz="4"/>
              <w:bottom w:val="single" w:color="D8DEE9" w:sz="4"/>
              <w:right w:val="single" w:color="D8DEE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Task-order flow understood; MOU steps captured; a named answer (or named owner) on the certification lane</w:t>
            </w:r>
          </w:p>
        </w:tc>
      </w:tr>
      <w:tr>
        <w:tc>
          <w:tcPr>
            <w:tcW w:type="dxa" w:w="1850"/>
            <w:tcBorders>
              <w:top w:val="single" w:color="D8DEE9" w:sz="4"/>
              <w:left w:val="single" w:color="D8DEE9" w:sz="4"/>
              <w:bottom w:val="single" w:color="D8DEE9" w:sz="4"/>
              <w:right w:val="single" w:color="D8DEE9" w:sz="4"/>
            </w:tcBorders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6"/>
                <w:szCs w:val="16"/>
              </w:rPr>
              <w:t xml:space="preserve">Montana State Fund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K1 leg · unknown</w:t>
            </w:r>
          </w:p>
        </w:tc>
        <w:tc>
          <w:tcPr>
            <w:tcW w:type="dxa" w:w="5470"/>
            <w:tcBorders>
              <w:top w:val="single" w:color="D8DEE9" w:sz="4"/>
              <w:left w:val="single" w:color="D8DEE9" w:sz="4"/>
              <w:bottom w:val="single" w:color="D8DEE9" w:sz="4"/>
              <w:right w:val="single" w:color="D8DEE9" w:sz="4"/>
            </w:tcBorders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“What platform runs MSF’s policy administration and claims adjudication, how old is it, and did any rehost occur before the 2021 mainframe decommission?”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Follow-up: “If MSF can’t order directly, do they qualify as a cooperative purchaser under §18-4-402?”</w:t>
            </w:r>
          </w:p>
        </w:tc>
        <w:tc>
          <w:tcPr>
            <w:tcW w:type="dxa" w:w="2400"/>
            <w:tcBorders>
              <w:top w:val="single" w:color="D8DEE9" w:sz="4"/>
              <w:left w:val="single" w:color="D8DEE9" w:sz="4"/>
              <w:bottom w:val="single" w:color="D8DEE9" w:sz="4"/>
              <w:right w:val="single" w:color="D8DEE9" w:sz="4"/>
            </w:tcBorders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Platform name (or “legacy/unknown”) on record</w:t>
            </w:r>
          </w:p>
        </w:tc>
      </w:tr>
      <w:tr>
        <w:tc>
          <w:tcPr>
            <w:tcW w:type="dxa" w:w="1850"/>
            <w:tcBorders>
              <w:top w:val="single" w:color="D8DEE9" w:sz="4"/>
              <w:left w:val="single" w:color="D8DEE9" w:sz="4"/>
              <w:bottom w:val="single" w:color="D8DEE9" w:sz="4"/>
              <w:right w:val="single" w:color="D8DEE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6"/>
                <w:szCs w:val="16"/>
              </w:rPr>
              <w:t xml:space="preserve">DLI — Unemployment Insurance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K1 leg · highest-probability residual COBOL nationally</w:t>
            </w:r>
          </w:p>
        </w:tc>
        <w:tc>
          <w:tcPr>
            <w:tcW w:type="dxa" w:w="5470"/>
            <w:tcBorders>
              <w:top w:val="single" w:color="D8DEE9" w:sz="4"/>
              <w:left w:val="single" w:color="D8DEE9" w:sz="4"/>
              <w:bottom w:val="single" w:color="D8DEE9" w:sz="4"/>
              <w:right w:val="single" w:color="D8DEE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“What runs Montana’s UI benefits and tax systems today — and was any component rehosted rather than replaced when the mainframe was decommissioned?”</w:t>
            </w:r>
          </w:p>
        </w:tc>
        <w:tc>
          <w:tcPr>
            <w:tcW w:type="dxa" w:w="2400"/>
            <w:tcBorders>
              <w:top w:val="single" w:color="D8DEE9" w:sz="4"/>
              <w:left w:val="single" w:color="D8DEE9" w:sz="4"/>
              <w:bottom w:val="single" w:color="D8DEE9" w:sz="4"/>
              <w:right w:val="single" w:color="D8DEE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Same: platform name or “legacy/unknown” captured</w:t>
            </w:r>
          </w:p>
        </w:tc>
      </w:tr>
    </w:tbl>
    <w:p>
      <w:pPr>
        <w:spacing w:after="70" w:before="150"/>
      </w:pPr>
      <w:r>
        <w:rPr>
          <w:rFonts w:ascii="Calibri" w:cs="Calibri" w:eastAsia="Calibri" w:hAnsi="Calibri"/>
          <w:b/>
          <w:bCs/>
          <w:color w:val="0F4C81"/>
          <w:sz w:val="21"/>
          <w:szCs w:val="21"/>
        </w:rPr>
        <w:t xml:space="preserve">Intelligence to Capture in the Room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A1A2E"/>
          <w:sz w:val="17"/>
          <w:szCs w:val="17"/>
        </w:rPr>
        <w:t xml:space="preserve">The other 11 awardees: who attends, what they sell, how they introduce themselves — the competitor map for every &gt;$100K solicitation ahead.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A1A2E"/>
          <w:sz w:val="17"/>
          <w:szCs w:val="17"/>
        </w:rPr>
        <w:t xml:space="preserve">Any agency names, pain points, or planned projects mentioned — first Tier Two opportunities usually surface informally at kickoffs.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A1A2E"/>
          <w:sz w:val="17"/>
          <w:szCs w:val="17"/>
        </w:rPr>
        <w:t xml:space="preserve">Signature logistics and effective date — the 10-business-day EFT/insurance clock starts at execution.</w:t>
      </w:r>
    </w:p>
    <w:p>
      <w:pPr>
        <w:spacing w:after="70" w:before="150"/>
      </w:pPr>
      <w:r>
        <w:rPr>
          <w:rFonts w:ascii="Calibri" w:cs="Calibri" w:eastAsia="Calibri" w:hAnsi="Calibri"/>
          <w:b/>
          <w:bCs/>
          <w:color w:val="0F4C81"/>
          <w:sz w:val="21"/>
          <w:szCs w:val="21"/>
        </w:rPr>
        <w:t xml:space="preserve">Introduction Line (30 seconds, use as written)</w:t>
      </w:r>
    </w:p>
    <w:p>
      <w:pPr>
        <w:pBdr>
          <w:left w:val="single" w:color="0F4C81" w:sz="12"/>
        </w:pBdr>
        <w:spacing w:after="100" w:before="40"/>
        <w:ind w:left="300"/>
      </w:pPr>
      <w:r>
        <w:rPr>
          <w:rFonts w:ascii="Calibri" w:cs="Calibri" w:eastAsia="Calibri" w:hAnsi="Calibri"/>
          <w:i/>
          <w:iCs/>
          <w:color w:val="1A1A2E"/>
          <w:sz w:val="17"/>
          <w:szCs w:val="17"/>
        </w:rPr>
        <w:t xml:space="preserve">“Visionblox — awarded on both tracks. Our flagship, Relian, does one thing no migration vendor can do for themselves: independently prove that modernized code behaves identically to the original. Deterministic transformation, measured equivalence on sealed test vectors, and a cryptographically signed audit ledger any third party can re-derive. Whether an agency modernizes with us or with anyone else, we can referee the result — and we start with an $8K code assessment an agency can order directly, no competition required.”</w:t>
      </w:r>
    </w:p>
    <w:p>
      <w:pPr>
        <w:spacing w:after="70" w:before="150"/>
      </w:pPr>
      <w:r>
        <w:rPr>
          <w:rFonts w:ascii="Calibri" w:cs="Calibri" w:eastAsia="Calibri" w:hAnsi="Calibri"/>
          <w:b/>
          <w:bCs/>
          <w:color w:val="0F4C81"/>
          <w:sz w:val="21"/>
          <w:szCs w:val="21"/>
        </w:rPr>
        <w:t xml:space="preserve">Guardrails — Do Not Say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8B2020"/>
          <w:sz w:val="17"/>
          <w:szCs w:val="17"/>
        </w:rPr>
        <w:t xml:space="preserve">No unmeasured claims: no “85% ML defect prediction,” no Solana attestation (until root-hash anchoring ships), no language pairs beyond COBOL→Java. “AI-powered” only with specificity.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8B2020"/>
          <w:sz w:val="17"/>
          <w:szCs w:val="17"/>
        </w:rPr>
        <w:t xml:space="preserve">No production-history implications — evidence is benchmark-measured, and that framing (“we prove, we don’t assert”) is stronger anyway.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8B2020"/>
          <w:sz w:val="17"/>
          <w:szCs w:val="17"/>
        </w:rPr>
        <w:t xml:space="preserve">Scoring-matrix question stays out of the room — already handled in writing; nothing at kickoff should read as challenging the award record.</w:t>
      </w:r>
    </w:p>
    <w:p>
      <w:pPr>
        <w:pBdr>
          <w:top w:val="single" w:color="D8DEE9" w:sz="6"/>
        </w:pBdr>
        <w:spacing w:before="140"/>
      </w:pPr>
      <w:r>
        <w:rPr>
          <w:rFonts w:ascii="Calibri" w:cs="Calibri" w:eastAsia="Calibri" w:hAnsi="Calibri"/>
          <w:i/>
          <w:iCs/>
          <w:color w:val="555555"/>
          <w:sz w:val="15"/>
          <w:szCs w:val="15"/>
        </w:rPr>
        <w:t xml:space="preserve">Contacts: Grace Waring, SPSD · grace.waring@mt.gov · (406) 444-2516 · 125 N Roberts St., Helena. TRS IT (if referred): John Noble, (406) 444-3395. · Visionblox internal — v1.0, Aug 8, 2026.</w:t>
      </w:r>
    </w:p>
    <w:sectPr>
      <w:headerReference w:type="default" r:id="rId8"/>
      <w:footerReference w:type="default" r:id="rId9"/>
      <w:pgSz w:w="12240" w:h="15840" w:orient="portrait"/>
      <w:pgMar w:top="900" w:right="1260" w:bottom="90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jc w:val="center"/>
      <w:pBdr>
        <w:top w:val="single" w:sz="8" w:space="4" w:color="F7B801"/>
      </w:pBdr>
    </w:pPr>
    <w:r>
      <w:rPr>
        <w:rFonts w:ascii="Arial" w:hAnsi="Arial"/>
        <w:color w:val="8892A4"/>
        <w:sz w:val="15"/>
      </w:rPr>
      <w:t xml:space="preserve">VISIONBLOX LLC  |  INTERNAL — CONFIDENTIAL  |  Page </w:t>
    </w:r>
    <w:r>
      <w:rPr>
        <w:rFonts w:ascii="Arial" w:hAnsi="Arial"/>
        <w:color w:val="8892A4"/>
        <w:sz w:val="15"/>
      </w:rPr>
      <w:fldChar w:fldCharType="begin"/>
    </w:r>
    <w:r>
      <w:rPr>
        <w:rFonts w:ascii="Arial" w:hAnsi="Arial"/>
        <w:color w:val="8892A4"/>
        <w:sz w:val="15"/>
      </w:rPr>
      <w:instrText xml:space="preserve"> PAGE </w:instrText>
    </w:r>
    <w:r>
      <w:rPr>
        <w:rFonts w:ascii="Arial" w:hAnsi="Arial"/>
        <w:color w:val="8892A4"/>
        <w:sz w:val="15"/>
      </w:rPr>
      <w:fldChar w:fldCharType="end"/>
    </w:r>
    <w:r>
      <w:rPr>
        <w:rFonts w:ascii="Arial" w:hAnsi="Arial"/>
        <w:color w:val="8892A4"/>
        <w:sz w:val="15"/>
      </w:rPr>
      <w:t xml:space="preserve"> of </w:t>
    </w:r>
    <w:r>
      <w:rPr>
        <w:rFonts w:ascii="Arial" w:hAnsi="Arial"/>
        <w:color w:val="8892A4"/>
        <w:sz w:val="15"/>
      </w:rPr>
      <w:fldChar w:fldCharType="begin"/>
    </w:r>
    <w:r>
      <w:rPr>
        <w:rFonts w:ascii="Arial" w:hAnsi="Arial"/>
        <w:color w:val="8892A4"/>
        <w:sz w:val="15"/>
      </w:rPr>
      <w:instrText xml:space="preserve"> NUMPAGES </w:instrText>
    </w:r>
    <w:r>
      <w:rPr>
        <w:rFonts w:ascii="Arial" w:hAnsi="Arial"/>
        <w:color w:val="8892A4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tblBorders>
        <w:top w:val="none" w:sz="0" w:space="0"/>
        <w:left w:val="none" w:sz="0" w:space="0"/>
        <w:bottom w:val="none" w:sz="0" w:space="0"/>
        <w:right w:val="none" w:sz="0" w:space="0"/>
        <w:insideH w:val="none" w:sz="0" w:space="0"/>
        <w:insideV w:val="none" w:sz="0" w:space="0"/>
      </w:tblBorders>
    </w:tblPr>
    <w:tblGrid>
      <w:gridCol w:w="4680"/>
      <w:gridCol w:w="4680"/>
    </w:tblGrid>
    <w:tr>
      <w:tc>
        <w:tcPr>
          <w:tcW w:type="dxa" w:w="3600"/>
          <w:vAlign w:val="center"/>
          <w:tcMar>
            <w:top w:w="0" w:type="dxa"/>
            <w:bottom w:w="0" w:type="dxa"/>
            <w:left w:w="0" w:type="dxa"/>
            <w:right w:w="0" w:type="dxa"/>
          </w:tcMar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54480" cy="65468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visionblox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480" cy="65468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  <w:vAlign w:val="bottom"/>
          <w:tcMar>
            <w:top w:w="0" w:type="dxa"/>
            <w:bottom w:w="0" w:type="dxa"/>
            <w:left w:w="0" w:type="dxa"/>
            <w:right w:w="0" w:type="dxa"/>
          </w:tcMar>
        </w:tcPr>
        <w:p>
          <w:pPr>
            <w:spacing w:before="0" w:after="20"/>
            <w:jc w:val="right"/>
          </w:pPr>
          <w:r>
            <w:rPr>
              <w:rFonts w:ascii="Arial" w:hAnsi="Arial"/>
              <w:b/>
              <w:color w:val="232D5A"/>
              <w:sz w:val="16"/>
            </w:rPr>
            <w:t>MAPS Awardee Kickoff Brief  —  Montana Master AI</w:t>
          </w:r>
        </w:p>
        <w:p>
          <w:pPr>
            <w:spacing w:before="0" w:after="0"/>
            <w:jc w:val="right"/>
          </w:pPr>
          <w:r>
            <w:rPr>
              <w:rFonts w:ascii="Arial" w:hAnsi="Arial"/>
              <w:b/>
              <w:color w:val="2EA891"/>
              <w:sz w:val="13"/>
            </w:rPr>
            <w:t>B U I L D   W H A T   D O E S N ' T   E X I S T   Y E T</w:t>
          </w:r>
        </w:p>
      </w:tc>
    </w:tr>
  </w:tbl>
  <w:p>
    <w:pPr>
      <w:spacing w:before="40" w:after="0"/>
      <w:pBdr>
        <w:bottom w:val="single" w:sz="12" w:space="1" w:color="2EA89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2026-08-08T16:25:45.689Z</dcterms:created>
  <dcterms:modified xsi:type="dcterms:W3CDTF">2026-08-08T16:25:45.690Z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