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MAPS AWARDEE KICK-OFF — VISIONBLOX BRIEF</w:t>
      </w:r>
    </w:p>
    <w:p>
      <w:pPr>
        <w:pBdr>
          <w:bottom w:val="single" w:color="0F4C81" w:sz="8"/>
        </w:pBdr>
        <w:spacing w:after="13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Master AI Products &amp; Services · Contract SPB26-0608GW-VSNBLX (Tracks 1 &amp; 2) · Host: Grace Waring, SPSD · Attendee: K. Wooden, Director of Enterprise Capture &amp; Compliance · One page — internal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Objectives (in priority order)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color w:val="1A1A2E"/>
          <w:sz w:val="17"/>
          <w:szCs w:val="17"/>
        </w:rPr>
        <w:t xml:space="preserve">Learn the Tier Two machinery: how agencies discover awardees, where SOWs post, how the three selection bands operate in practice, and whether a demand forecast exists.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Close the two open K1 discovery legs (Montana State Fund, DLI unemployment insurance) with named platform answers or named follow-up contacts.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Open the certification-lane conversation (Exhibit C “other industry-recognized certification, as approved by State”) — every awardee faces this wall; learn what State will accept.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Question Card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5470"/>
        <w:gridCol w:w="2400"/>
      </w:tblGrid>
      <w:tr>
        <w:trPr>
          <w:tblHeader/>
        </w:trPr>
        <w:tc>
          <w:tcPr>
            <w:tcW w:type="dxa" w:w="185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shd w:fill="0F4C8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547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shd w:fill="0F4C8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Ask (verbatim-ready)</w:t>
            </w:r>
          </w:p>
        </w:tc>
        <w:tc>
          <w:tcPr>
            <w:tcW w:type="dxa" w:w="240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shd w:fill="0F4C8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Done when</w:t>
            </w:r>
          </w:p>
        </w:tc>
      </w:tr>
      <w:tr>
        <w:tc>
          <w:tcPr>
            <w:tcW w:type="dxa" w:w="185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Grace Waring / SPSD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Vehicle mechanics</w:t>
            </w:r>
          </w:p>
        </w:tc>
        <w:tc>
          <w:tcPr>
            <w:tcW w:type="dxa" w:w="547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1. “How will ordering agencies discover and solicit awardees — is there a portal, a roster distribution, or agency-by-agency outreach? Do awardees see a demand forecast?”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2. “For cooperative purchasers under Section 15 — what is the MOU process for a county, district, or another state, and who initiates it?”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3. “On Exhibit C security certification — what will the State accept under the ‘other industry-recognized certification, as approved’ clause? Would a CMMC Level 2 self-assessment with a NIST SP 800-171 SSP serve as interim evidence ahead of SOC 2 Type 2?”</w:t>
            </w:r>
          </w:p>
        </w:tc>
        <w:tc>
          <w:tcPr>
            <w:tcW w:type="dxa" w:w="240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Task-order flow understood; MOU steps captured; a named answer (or named owner) on the certification lane</w:t>
            </w:r>
          </w:p>
        </w:tc>
      </w:tr>
      <w:tr>
        <w:tc>
          <w:tcPr>
            <w:tcW w:type="dxa" w:w="185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Montana State Fund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K1 leg · unknown</w:t>
            </w:r>
          </w:p>
        </w:tc>
        <w:tc>
          <w:tcPr>
            <w:tcW w:type="dxa" w:w="547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“What platform runs MSF’s policy administration and claims adjudication, how old is it, and did any rehost occur before the 2021 mainframe decommission?”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Follow-up: “If MSF can’t order directly, do they qualify as a cooperative purchaser under §18-4-402?”</w:t>
            </w:r>
          </w:p>
        </w:tc>
        <w:tc>
          <w:tcPr>
            <w:tcW w:type="dxa" w:w="240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Platform name (or “legacy/unknown”) on record</w:t>
            </w:r>
          </w:p>
        </w:tc>
      </w:tr>
      <w:tr>
        <w:tc>
          <w:tcPr>
            <w:tcW w:type="dxa" w:w="185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DLI — Unemployment Insurance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K1 leg · highest-probability residual COBOL nationally</w:t>
            </w:r>
          </w:p>
        </w:tc>
        <w:tc>
          <w:tcPr>
            <w:tcW w:type="dxa" w:w="547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“What runs Montana’s UI benefits and tax systems today — and was any component rehosted rather than replaced when the mainframe was decommissioned?”</w:t>
            </w:r>
          </w:p>
        </w:tc>
        <w:tc>
          <w:tcPr>
            <w:tcW w:type="dxa" w:w="2400"/>
            <w:tcBorders>
              <w:top w:val="single" w:color="D8DEE9" w:sz="4"/>
              <w:left w:val="single" w:color="D8DEE9" w:sz="4"/>
              <w:bottom w:val="single" w:color="D8DEE9" w:sz="4"/>
              <w:right w:val="single" w:color="D8DEE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Same: platform name or “legacy/unknown” captured</w:t>
            </w:r>
          </w:p>
        </w:tc>
      </w:tr>
    </w:tbl>
    <w:p>
      <w:pPr>
        <w:spacing w:after="70" w:before="15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Intelligence to Capture in the Room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The other 11 awardees: who attends, what they sell, how they introduce themselves — the competitor map for every &gt;$100K solicitation ahead.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Any agency names, pain points, or planned projects mentioned — first Tier Two opportunities usually surface informally at kickoffs.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Signature logistics and effective date — the 10-business-day EFT/insurance clock starts at execution.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Introduction Line (30 seconds, use as written)</w:t>
      </w:r>
    </w:p>
    <w:p>
      <w:pPr>
        <w:pBdr>
          <w:left w:val="single" w:color="0F4C81" w:sz="12"/>
        </w:pBdr>
        <w:spacing w:after="100" w:before="40"/>
        <w:ind w:left="300"/>
      </w:pPr>
      <w:r>
        <w:rPr>
          <w:rFonts w:ascii="Calibri" w:cs="Calibri" w:eastAsia="Calibri" w:hAnsi="Calibri"/>
          <w:i/>
          <w:iCs/>
          <w:color w:val="1A1A2E"/>
          <w:sz w:val="17"/>
          <w:szCs w:val="17"/>
        </w:rPr>
        <w:t xml:space="preserve">“Visionblox — awarded on both tracks. Our flagship, Relian, does one thing no migration vendor can do for themselves: independently prove that modernized code behaves identically to the original. Deterministic transformation, measured equivalence on sealed test vectors, and a cryptographically signed audit ledger any third party can re-derive. Whether an agency modernizes with us or with anyone else, we can referee the result — and we start with an $8K code assessment an agency can order directly, no competition required.”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Guardrails — Do Not Say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8B2020"/>
          <w:sz w:val="17"/>
          <w:szCs w:val="17"/>
        </w:rPr>
        <w:t xml:space="preserve">No unmeasured claims: no “85% ML defect prediction,” no Solana attestation (until root-hash anchoring ships), no language pairs beyond COBOL→Java. “AI-powered” only with specificity.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8B2020"/>
          <w:sz w:val="17"/>
          <w:szCs w:val="17"/>
        </w:rPr>
        <w:t xml:space="preserve">No production-history implications — evidence is benchmark-measured, and that framing (“we prove, we don’t assert”) is stronger anyway.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8B2020"/>
          <w:sz w:val="17"/>
          <w:szCs w:val="17"/>
        </w:rPr>
        <w:t xml:space="preserve">Scoring-matrix question stays out of the room — already handled in writing; nothing at kickoff should read as challenging the award record.</w:t>
      </w:r>
    </w:p>
    <w:p>
      <w:pPr>
        <w:pBdr>
          <w:top w:val="single" w:color="D8DEE9" w:sz="6"/>
        </w:pBdr>
        <w:spacing w:before="140"/>
      </w:pP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Contacts: Grace Waring, SPSD · grace.waring@mt.gov · (406) 444-2516 · 125 N Roberts St., Helena. TRS IT (if referred): John Noble, (406) 444-3395. · Visionblox internal — v1.0, Aug 8, 2026.</w:t>
      </w:r>
    </w:p>
    <w:sectPr>
      <w:pgSz w:w="12240" w:h="15840" w:orient="portrait"/>
      <w:pgMar w:top="900" w:right="1260" w:bottom="9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2026-08-08T16:25:45.689Z</dcterms:created>
  <dcterms:modified xsi:type="dcterms:W3CDTF">2026-08-08T16:25:45.690Z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