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32D5A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7B801"/>
                <w:sz w:val="22"/>
                <w:szCs w:val="22"/>
              </w:rPr>
              <w:t xml:space="preserve">VISIONBLOX LLC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RELIAN™ BUILD HANDOFF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Current Build State vs. Desired State · Step-by-Step Design &amp; Build Guide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9C2E0"/>
                <w:sz w:val="22"/>
                <w:szCs w:val="22"/>
              </w:rPr>
              <w:t xml:space="preserve">“Ready for Buyers” Finish Line: $8K/$12K Assessment Engagements + Tier Two Task Orders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Prepared for: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Akil &amp; AJ (build team) — designed to be loaded directly into Claude / Claude Code as working context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Prepared by: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K. Wooden, Director of Enterprise Capture &amp; Compliance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Contract context: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Montana Master AI Products &amp; Services · SPB26-0608GW-VSNBLX (Tracks 1 &amp; 2) · up to 10-year term · four buyer classes via Section 15 cooperative purchasing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v1.0 · August 8, 2026 · Visionblox internal — do not distribute externally</w:t>
      </w:r>
    </w:p>
    <w:p>
      <w:pPr>
        <w:spacing w:after="100"/>
      </w:pPr>
    </w:p>
    <w:tbl>
      <w:tblPr>
        <w:tblW w:type="dxa" w:w="9360"/>
        <w:tblBorders>
          <w:top w:val="single" w:color="F7B801" w:sz="4"/>
          <w:left w:val="single" w:color="F7B801" w:sz="24"/>
          <w:bottom w:val="single" w:color="F7B801" w:sz="4"/>
          <w:right w:val="single" w:color="F7B80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32D5A"/>
                <w:sz w:val="22"/>
                <w:szCs w:val="22"/>
              </w:rPr>
              <w:t xml:space="preserve">How to use this document with Claude / Claude Code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1. Paste Section 2 (Non-Negotiable Engineering Rules) into the repo's CLAUDE.md before any session. These rules override anything else Claude proposes.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2. Work one phase at a time (Section 6). Each phase is a self-contained work package: objective, tasks, and binary acceptance criteria. Give Claude Code the phase block plus the current-state table (Section 3) as context.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3. A phase is complete only when every acceptance criterion passes in CI — not when the code “looks done.”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4. When Claude proposes anything that conflicts with the rules (a default metric value, a mocked attestation, a claim template with an unmeasured number), the rules win. That conflict is the signal you are about to repeat the exact failure mode we already remediated once.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1. What Relian Is — and What “Ready for Buyers” Means</w:t>
      </w:r>
    </w:p>
    <w:p>
      <w:pPr>
        <w:spacing w:after="140" w:before="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Relian is a COBOL-to-Java modernization platform whose differentiator is not migration — it is proof. The one-sentence positioning, used verbatim at the MAPS kickoff: “Relian does one thing no migration vendor can do for themselves: independently prove that modernized code behaves identically to the original. Deterministic transformation, measured equivalence on sealed test vectors, and a cryptographically signed audit ledger any third party can re-derive.”</w:t>
      </w:r>
    </w:p>
    <w:p>
      <w:pPr>
        <w:spacing w:after="140" w:before="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Revenue flows through a two-tier contract: the master award qualifies Visionblox; only Tier Two Statements of Work pay. The selection bands create a deliberate wedge: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34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Mechanics</w:t>
            </w:r>
          </w:p>
        </w:tc>
        <w:tc>
          <w:tcPr>
            <w:tcW w:type="dxa" w:w="446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the build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≤ $10,000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Direct select — an agency may simply pick Visionblox, no competition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The $8K Legacy Code Assessment and $12K Data Discovery live here. 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These are the land-and-expand products. They must be turnkey.</w:t>
            </w:r>
          </w:p>
        </w:tc>
      </w:tr>
      <w:tr>
        <w:tc>
          <w:tcPr>
            <w:tcW w:type="dxa" w:w="15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$10,001–$100,000</w:t>
            </w:r>
          </w:p>
        </w:tc>
        <w:tc>
          <w:tcPr>
            <w:tcW w:type="dxa" w:w="34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Agency solicits ≥3 qualified contractors</w:t>
            </w:r>
          </w:p>
        </w:tc>
        <w:tc>
          <w:tcPr>
            <w:tcW w:type="dxa" w:w="44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Small migrations. Won on the attestation differentiator, priced from assessment output.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&gt; $100,000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All 12 awardees solicited; cost ≥ 20% of points (technical merit can carry up to 80%)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Medium/large migrations ($75K–$405K Exhibit D examples). The evidence discipline is the win theme.</w:t>
            </w:r>
          </w:p>
        </w:tc>
      </w:tr>
    </w:tbl>
    <w:p>
      <w:pPr>
        <w:spacing w:after="12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“Ready for buyers” therefore means three things, in priority order: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$8K Legacy Code Assessment runs end-to-end on any customer COBOL codebase and produces a signed, reproducible report — with zero unmeasured numbers. The assessment output naturally writes the follow-on migration SOW (LOC inventory, construct coverage, complexity, risk).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$12K Data Discovery runs end-to-end and produces a signed data dictionary, lineage map, and target-schema recommendation.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 migration task order can be delivered on the supported-construct scope with per-project measured metrics, honest failure on unsupported constructs, chain-anchored attestation, and a 90-day defect-support process.</w:t>
      </w:r>
    </w:p>
    <w:p>
      <w:pPr>
        <w:spacing w:after="140" w:before="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Everything in this guide serves those three outcomes. Anything that does not is explicitly deferred (Section 7).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2. Non-Negotiable Engineering Rules (paste into CLAUDE.md)</w:t>
      </w:r>
    </w:p>
    <w:p>
      <w:pPr>
        <w:spacing w:after="140" w:before="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These rules exist because Relian already failed its own thesis once: hardcoded quality constants and a simulated blockchain client shipped in a product whose value proposition is provable integrity. That was remediated in full — and the contract now gives the principle teeth: Exhibit A §3.1 grants the State and Legislative Auditor access to any records necessary to audit for compliance. A pipeline that fabricates numbers fails on first audit. The pipeline that refuses to attest what it cannot measure passes by construction.</w:t>
      </w:r>
    </w:p>
    <w:tbl>
      <w:tblPr>
        <w:tblW w:type="dxa" w:w="9360"/>
        <w:tblBorders>
          <w:top w:val="single" w:color="2EA891" w:sz="4"/>
          <w:left w:val="single" w:color="2EA891" w:sz="24"/>
          <w:bottom w:val="single" w:color="2EA891" w:sz="4"/>
          <w:right w:val="single" w:color="2EA89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7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32D5A"/>
                <w:sz w:val="22"/>
                <w:szCs w:val="22"/>
              </w:rPr>
              <w:t xml:space="preserve">RELIAN ENGINEERING RULES — verbatim block for CLAUDE.md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R1. A metric is measured or None — never a constant, never a default, never an estimate presented as a measurement. No exceptions, including demos, tests of report templates, and “temporary” placeholders.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R2. Honest failure is a feature. Unsupported COBOL constructs produce an explicit no-attestation result with the construct inventory attached. Never silently pass, skip, or approximate.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R3. Never touch the sealed held-out vectors. Do not read, regenerate, copy, or reference the contents of relian-bench-private. Held-out evaluation happens only in CI via the deploy key. If a task seems to require the vectors, stop and escalate to Khaalis.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R4. Private signing keys never enter the repo, .env files, CI variables you create, or a Claude Code context window. Key custody is Khaalis-only (~/zil-keys/). Code signs via interfaces; it never embeds keys.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R5. Nothing simulated ships. No simulated:true anywhere in mainline code paths. If a real integration (e.g., Solana anchoring) is not ready, the honest state is its absence, stated plainly.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R6. No customer or State source code may be sent to any generative-AI model during transformation. The transform core is deterministic by design — that is a contractual advantage (Exhibit C generative-AI clause). Any optional LLM-assisted analysis must be local (Ollama/Mistral-7B, Apache 2.0), disclosed, and off by default.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R7. Bench-first expansion. No new COBOL construct, and no new language pair, is claimed as supported until RELIAN-BENCH covers it with oracle-compiled programs and sealed vectors, and the transpiler passes held-out in CI. Benchmark commitment precedes capability claims — always.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R8. Cross-platform determinism: core.autocrlf=false on every clone; Path.as_posix() unconditionally for manifest hashing; sort by the posix-string form of relative paths, never Path objects.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R9. Every externally visible number in any report template carries a Trutina grade (✓ VERIFIED / ◐ PLAUSIBLE / ◯ SPECULATIVE) and a provenance field naming the measurement that produced 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R10. Main is protected. All work merges through CI; the thresholds (BER 1.0000 on supported scope, build rate 1.00, branch coverage ≥ 0.80) are merge gates, not dashboards. Preserve honest-failure records — they are audit evidence, not embarrassments.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R11. Quotable-capability discipline: report and quote templates may only reference capabilities listed in the quotable-capability matrix (Phase 5). If the matrix doesn't list it, the template can't say it.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3. Current Build State (Trutina-Graded, as of Aug 8, 2026)</w:t>
      </w:r>
    </w:p>
    <w:p>
      <w:pPr>
        <w:spacing w:after="140" w:before="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This is the honest snapshot. Every ✓ claim below traces to git history, CI run records, or the signed benchmark bundle. Do not trust any other description of the build — including older docs and the April proposal language.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4010"/>
        <w:gridCol w:w="1800"/>
      </w:tblGrid>
      <w:tr>
        <w:trPr>
          <w:tblHeader/>
        </w:trPr>
        <w:tc>
          <w:tcPr>
            <w:tcW w:type="dxa" w:w="355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1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C1 transpiler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Deterministic rule-based COBOL→Java, ~430 lines Python. Wired into the orchestrator's _transform_to_java(), replacing the placeholder stub.</w:t>
            </w:r>
          </w:p>
        </w:tc>
        <w:tc>
          <w:tcPr>
            <w:tcW w:type="dxa" w:w="4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BER 1.0000 on 300 sealed held-out vectors; build rate 1.00; branch coverage 0.8824. First automated full PASS of all committed thresholds. Fails honestly on unsupported COBOL.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E7A45"/>
                <w:sz w:val="20"/>
                <w:szCs w:val="20"/>
              </w:rPr>
              <w:t xml:space="preserve">✓ MEASURED</w:t>
            </w:r>
          </w:p>
        </w:tc>
      </w:tr>
      <w:tr>
        <w:tc>
          <w:tcPr>
            <w:tcW w:type="dxa" w:w="355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RELIAN-BENCH v1.1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Five oracle-compiled COBOL programs: payroll, FPL benefits eligibility, graduated tax, OCCURS/SEARCH table lookup, record validation.</w:t>
            </w:r>
          </w:p>
        </w:tc>
        <w:tc>
          <w:tcPr>
            <w:tcW w:type="dxa" w:w="40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300 held-out vectors sealed in relian-bench-private; Ed25519-signed (key fingerprint 233bb4406e2de606). CI deploy key wires the vault to GitHub Actions.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E7A45"/>
                <w:sz w:val="20"/>
                <w:szCs w:val="20"/>
              </w:rPr>
              <w:t xml:space="preserve">✓ COMMITTED</w:t>
            </w:r>
          </w:p>
        </w:tc>
      </w:tr>
      <w:tr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Integrity remediation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Hardcoded constants removed (semantic_score=0.85, validation_score=95.0); simulated Solana client removed; fabricated metrics patched in orchestrator.py, blockchain/client.py, test_generator.py, migration_intelligence.py, api/main.py.</w:t>
            </w:r>
          </w:p>
        </w:tc>
        <w:tc>
          <w:tcPr>
            <w:tcW w:type="dxa" w:w="4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Stage 1–3 patches confirmed on GitHub main (commits e7167ef → 9d364d8). Live pipeline reports measured metrics only.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E7A45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55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Attestation ledger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Ed25519-signed, hash-chained Aletheia-pattern ledger; independently re-derivable by any third party.</w:t>
            </w:r>
          </w:p>
        </w:tc>
        <w:tc>
          <w:tcPr>
            <w:tcW w:type="dxa" w:w="40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 on-chain anchoring yet — the Exhibit D word is “Solana,” so this is a contract gap with a cheap close (Phase 3).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07D00"/>
                <w:sz w:val="20"/>
                <w:szCs w:val="20"/>
              </w:rPr>
              <w:t xml:space="preserve">◐ PARTIAL</w:t>
            </w:r>
          </w:p>
        </w:tc>
      </w:tr>
      <w:tr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Assessment products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$8K Legacy Code Assessment / $12K Data Discovery — the direct-select revenue wedge.</w:t>
            </w:r>
          </w:p>
        </w:tc>
        <w:tc>
          <w:tcPr>
            <w:tcW w:type="dxa" w:w="4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Do not exist as products. No intake, no coverage analyzer, no complexity scoring, no report generator. This is the primary build (Phases 1–2).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◯ GAP</w:t>
            </w:r>
          </w:p>
        </w:tc>
      </w:tr>
      <w:tr>
        <w:tc>
          <w:tcPr>
            <w:tcW w:type="dxa" w:w="355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ML risk scoring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“85%+ defect prediction” from the April proposal.</w:t>
            </w:r>
          </w:p>
        </w:tc>
        <w:tc>
          <w:tcPr>
            <w:tcW w:type="dxa" w:w="40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Fabricated accuracy removed in remediation. No measured model exists. Excluded from all quotes until built-and-measured against labeled data — or formally retired.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◯ GAP (deferred)</w:t>
            </w:r>
          </w:p>
        </w:tc>
      </w:tr>
      <w:tr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Other language pairs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Ada→Rust, FORTRAN→C++, MUMPS→Node.js, PL/I→C# (priced in Exhibit D).</w:t>
            </w:r>
          </w:p>
        </w:tc>
        <w:tc>
          <w:tcPr>
            <w:tcW w:type="dxa" w:w="4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 transpiler, benchmark, or oracle corpus for any pair beyond COBOL→Java. Bench-first rule governs; sequence by buyer signal only.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◯ GAP (deferred)</w:t>
            </w:r>
          </w:p>
        </w:tc>
      </w:tr>
      <w:tr>
        <w:tc>
          <w:tcPr>
            <w:tcW w:type="dxa" w:w="355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Delivery operations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90-day defect support, SOPs, dashboards, SLA tiers, invoicing discipline.</w:t>
            </w:r>
          </w:p>
        </w:tc>
        <w:tc>
          <w:tcPr>
            <w:tcW w:type="dxa" w:w="40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 yet operationalized for a paying customer. SOP pack and runbook are Phase 5; dashboards/SLA tiers deferred until a subscription prospect exists.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07D00"/>
                <w:sz w:val="20"/>
                <w:szCs w:val="20"/>
              </w:rPr>
              <w:t xml:space="preserve">◐ ADMIN</w:t>
            </w:r>
          </w:p>
        </w:tc>
      </w:tr>
    </w:tbl>
    <w:p>
      <w:pPr>
        <w:spacing w:after="120"/>
      </w:pP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Where the build already wins (lead with these)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US-only data, no offshore access: met by design. On-premise deployment plus local inference means customer data never leaves the perimeter.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Generative-AI clause: the deterministic transform core means no customer source code enters generative-AI queries during transformation — most competitors cannot say this.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Audit access and annual assurance: the signed ledger, CI history, and the preserved honest-failure record (run #5) are exactly the “detailed accounting” an assurance statement requires. The evidence discipline is the compliance program.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IP: all right, title, and interest in the software belongs exclusively to Visionblox — including customer-suggested improvements. Keep all development in Visionblox repos, never in customer environments; git history and ledger timestamps prove background IP predates performance.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4. Desired State — The “Ready for Buyers” Definition</w:t>
      </w:r>
    </w:p>
    <w:p>
      <w:pPr>
        <w:spacing w:after="140" w:before="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desired state is not “feature complete.” It is: every capability an agency can order under the direct-select band works turnkey, every number in every deliverable is measured, and every contract representation is either honestly met or honestly scoped in the SOW. Specifically: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476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Desired state</w:t>
            </w:r>
          </w:p>
        </w:tc>
        <w:tc>
          <w:tcPr>
            <w:tcW w:type="dxa" w:w="24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 moment it serves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Assessment Engine ($8K)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Point at a COBOL codebase → receive a signed Assessment Report: LOC inventory (physical/logical/comment), construct-coverage map against the C1 grammar, complexity scoring, ranked risk profile, and a migration-scope recommendation. Fully reproducible; ledger entry per engagement; &lt; 1 day operator time.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An agency direct-selects Visionblox with no competition. The report writes the follow-on migration SOW.</w:t>
            </w:r>
          </w:p>
        </w:tc>
      </w:tr>
      <w:tr>
        <w:tc>
          <w:tcPr>
            <w:tcW w:type="dxa" w:w="22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Data Discovery Engine ($12K)</w:t>
            </w:r>
          </w:p>
        </w:tc>
        <w:tc>
          <w:tcPr>
            <w:tcW w:type="dxa" w:w="47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Point at copybooks + JCL + programs → receive a signed Data Discovery Report: field-level data dictionary, record layouts (REDEFINES/OCCURS/COMP resolved), file inventory, program-to-file lineage map, and draft relational target schema (DDL).</w:t>
            </w:r>
          </w:p>
        </w:tc>
        <w:tc>
          <w:tcPr>
            <w:tcW w:type="dxa" w:w="24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Second direct-select product; de-risks the data side of any migration quote.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Migration delivery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Assessment-gated quoting (only supported-construct scope is quoted); per-project measured metrics report; honest-failure handling surfaces unsupported constructs as change-order items, not surprises; 90-day defect-support intake and tracking.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Tier Two migration task orders in the $10K–$405K bands.</w:t>
            </w:r>
          </w:p>
        </w:tc>
      </w:tr>
      <w:tr>
        <w:tc>
          <w:tcPr>
            <w:tcW w:type="dxa" w:w="22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Attestation</w:t>
            </w:r>
          </w:p>
        </w:tc>
        <w:tc>
          <w:tcPr>
            <w:tcW w:type="dxa" w:w="47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Ed25519 hash-chained ledger AND per-attestation root-hash anchoring to Solana mainnet, with a public verification script any third party can run. Closes the Exhibit D “Solana” representation honestly — and upgrades it: chain-anchored AND re-derivable.</w:t>
            </w:r>
          </w:p>
        </w:tc>
        <w:tc>
          <w:tcPr>
            <w:tcW w:type="dxa" w:w="24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Every deliverable; the renewal-defense and &gt;$100K technical-merit win theme.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Quote governance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Machine-checkable quotable-capability matrix; quote/report templates fail a lint check if they reference anything not in the matrix. The two-tier quote gate becomes code, not vigilance.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Every Tier Two response — the control point where contract exposure lives.</w:t>
            </w:r>
          </w:p>
        </w:tc>
      </w:tr>
      <w:tr>
        <w:tc>
          <w:tcPr>
            <w:tcW w:type="dxa" w:w="22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Operations</w:t>
            </w:r>
          </w:p>
        </w:tc>
        <w:tc>
          <w:tcPr>
            <w:tcW w:type="dxa" w:w="47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Engagement runbook; SOP pack v1 (defect support, breach notification, data disposition, legal-request handling); invoice template with SPB26-0608GW-VSNBLX baked in; 6-year record retention wired into the ledger archive.</w:t>
            </w:r>
          </w:p>
        </w:tc>
        <w:tc>
          <w:tcPr>
            <w:tcW w:type="dxa" w:w="24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Execution-day obligations and first-SOW readiness.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3261E" w:sz="4"/>
          <w:left w:val="single" w:color="B3261E" w:sz="24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32D5A"/>
                <w:sz w:val="22"/>
                <w:szCs w:val="22"/>
              </w:rPr>
              <w:t xml:space="preserve">Explicitly NOT in the desired state (do not build yet)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ML risk scoring — build-and-measure against labeled defect data only if a buyer demands it in a SOW; otherwise it stays out of quotes. No third option exists.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Additional language pairs (Ada, FORTRAN, MUMPS, PL/I) — bench-first rule; stand up a pair's RELIAN-BENCH only when a real buyer signal exists. MUMPS is the most likely second pair if healthcare demand surfaces through the cooperative channel.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Platform subscription surface (dashboards, support tiers, 99.9% SLA) — build when the first subscription prospect exists. Per-LOC project revenue does not require it, and SLA credits are real money.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Any generative-AI transformation path — the deterministic core is the compliance moat. Don't dilute it.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5. Gap Matrix — Current → Desired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20"/>
        <w:gridCol w:w="2280"/>
        <w:gridCol w:w="2760"/>
        <w:gridCol w:w="1180"/>
      </w:tblGrid>
      <w:tr>
        <w:trPr>
          <w:tblHeader/>
        </w:trPr>
        <w:tc>
          <w:tcPr>
            <w:tcW w:type="dxa" w:w="52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2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28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76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Desired</w:t>
            </w:r>
          </w:p>
        </w:tc>
        <w:tc>
          <w:tcPr>
            <w:tcW w:type="dxa" w:w="118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G1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Legacy Code Assessment product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Turnkey signed report, &lt; 1 day operator time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G2</w:t>
            </w:r>
          </w:p>
        </w:tc>
        <w:tc>
          <w:tcPr>
            <w:tcW w:type="dxa" w:w="26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Data Discovery product</w:t>
            </w:r>
          </w:p>
        </w:tc>
        <w:tc>
          <w:tcPr>
            <w:tcW w:type="dxa" w:w="22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27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Turnkey signed report w/ dictionary, lineage, DDL</w:t>
            </w:r>
          </w:p>
        </w:tc>
        <w:tc>
          <w:tcPr>
            <w:tcW w:type="dxa" w:w="11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G3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Construct-coverage analyzer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Implicit in transpiler failures only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Standalone analyzer over any codebase; % coverage + unsupported inventory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G4</w:t>
            </w:r>
          </w:p>
        </w:tc>
        <w:tc>
          <w:tcPr>
            <w:tcW w:type="dxa" w:w="26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Solana anchoring</w:t>
            </w:r>
          </w:p>
        </w:tc>
        <w:tc>
          <w:tcPr>
            <w:tcW w:type="dxa" w:w="22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Removed (was simulated)</w:t>
            </w:r>
          </w:p>
        </w:tc>
        <w:tc>
          <w:tcPr>
            <w:tcW w:type="dxa" w:w="27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Real mainnet root-hash anchor + public verifier</w:t>
            </w:r>
          </w:p>
        </w:tc>
        <w:tc>
          <w:tcPr>
            <w:tcW w:type="dxa" w:w="11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G5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Transpiler grammar coverage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5-program benched scope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Expanded per assessment findings, bench-first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G6</w:t>
            </w:r>
          </w:p>
        </w:tc>
        <w:tc>
          <w:tcPr>
            <w:tcW w:type="dxa" w:w="26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Per-project metrics reporting</w:t>
            </w:r>
          </w:p>
        </w:tc>
        <w:tc>
          <w:tcPr>
            <w:tcW w:type="dxa" w:w="22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CI artifacts only</w:t>
            </w:r>
          </w:p>
        </w:tc>
        <w:tc>
          <w:tcPr>
            <w:tcW w:type="dxa" w:w="27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Customer-facing measured-metrics report per engagement</w:t>
            </w:r>
          </w:p>
        </w:tc>
        <w:tc>
          <w:tcPr>
            <w:tcW w:type="dxa" w:w="11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G7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Quotable-capability enforcement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Manual discipline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Machine-checked matrix + template lint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G8</w:t>
            </w:r>
          </w:p>
        </w:tc>
        <w:tc>
          <w:tcPr>
            <w:tcW w:type="dxa" w:w="26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Defect-support tooling (90-day)</w:t>
            </w:r>
          </w:p>
        </w:tc>
        <w:tc>
          <w:tcPr>
            <w:tcW w:type="dxa" w:w="22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Intake, tracking, SLA clocks, ledger-logged resolutions</w:t>
            </w:r>
          </w:p>
        </w:tc>
        <w:tc>
          <w:tcPr>
            <w:tcW w:type="dxa" w:w="11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G9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SOP pack + runbook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v1 drafted, versioned in repo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G10</w:t>
            </w:r>
          </w:p>
        </w:tc>
        <w:tc>
          <w:tcPr>
            <w:tcW w:type="dxa" w:w="26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ML risk scoring / new pairs / dashboards</w:t>
            </w:r>
          </w:p>
        </w:tc>
        <w:tc>
          <w:tcPr>
            <w:tcW w:type="dxa" w:w="22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Removed or absent</w:t>
            </w:r>
          </w:p>
        </w:tc>
        <w:tc>
          <w:tcPr>
            <w:tcW w:type="dxa" w:w="27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Deferred — demand-gated (Section 7)</w:t>
            </w:r>
          </w:p>
        </w:tc>
        <w:tc>
          <w:tcPr>
            <w:tcW w:type="dxa" w:w="11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6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6. Step-by-Step Design &amp; Build Guide</w:t>
      </w:r>
    </w:p>
    <w:p>
      <w:pPr>
        <w:spacing w:after="140" w:before="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Each phase below is a Claude Code work package. The pattern for every session: load CLAUDE.md (Section 2 rules) → paste the phase block → have Claude propose a design doc first → review the design against the rules → then build → merge only when acceptance criteria pass in CI. Phases 1 and 2 are the revenue path; do them first and in order. Phase 3 can run in parallel with Phase 2.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32D5A"/>
          <w:sz w:val="25"/>
          <w:szCs w:val="25"/>
        </w:rPr>
        <w:t xml:space="preserve">Phase 0 — Onboarding &amp; Environment (Day 1)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Akil and AJ can build, test, and run the full pipeline locally, and understand the boundaries.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Clone the Relian repo. Set core.autocrlf=false BEFORE first checkout (git config core.autocrlf false). CRLF corruption of bundle files is a known, silent hash-breaker.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Run the full test suite and the local (non-held-out) benchmark leg. Confirm green before touching anything.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Read the remediation history: commits e7167ef through 9d364d8. Understand what was removed and why — this is the culture download, not busywork.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Trace one program end-to-end: COBOL in → _transform_to_java() → Java out → test generation → metrics → ledger entry. Draw the data flow. This diagram becomes the Phase 1 design baseline.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Confirm boundaries: no access to relian-bench-private, no signing keys, no CI secret changes. Held-out evaluation and bundle signing remain Khaalis-only operations.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Both developers run the pipeline locally with green tests and can explain the honest-failure path for an unsupported construct.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 one-page architecture diagram of the current pipeline is committed to /docs.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32D5A"/>
          <w:sz w:val="25"/>
          <w:szCs w:val="25"/>
        </w:rPr>
        <w:t xml:space="preserve">Phase 1 — Assessment Engine: the $8K Product (Weeks 1–4)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 turnkey Legacy Code Assessment: codebase in, signed reproducible report out. This is the highest-priority build in the company — it is the no-competition revenue wedge and it writes the SOW for every follow-on migration.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Design (build in this order)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Intake module — recursive file discovery over a customer drop (source members, copybooks, JCL); COBOL dialect signals (IBM Enterprise, MF, GnuCOBOL); encoding handling (EBCDIC-converted vs ASCII); a manifest of every file with SHA-256 hashes (posix-path sorted, per R8). The manifest is the first ledger artifact of the engagement.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LOC inventory — physical lines, logical lines, comment lines, dead-code candidates (unreferenced paragraphs/sections), per-program and rollup. Per-LOC pricing at $3.00/LOC makes this table literally the quote input — it must be exact and reproducible.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Construct-coverage analyzer — the crown jewel. Parse each program and classify every statement/construct as SUPPORTED (in the C1 grammar) or UNSUPPORTED (named construct, file, line). Output: coverage % by program and portfolio, plus the full unsupported-construct inventory ranked by frequency. Design note: derive the supported set from the transpiler's actual grammar programmatically — never a hand-maintained list that can drift (that is a constant pretending to be a measurement).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Complexity scoring — cyclomatic complexity per paragraph, GOTO density, ALTER presence, copybook fan-in/fan-out, EXEC CICS / EXEC SQL presence, PERFORM-THRU spans. Every score is computed from the parse; document each formula in the report appendix.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Risk profile — deterministic ranking that combines coverage gaps + complexity + external-interface presence into migration-risk tiers per program. The ranking rule is published in the report (auditable), not a black box.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Report generator — docx/PDF Assessment Report: executive summary, LOC inventory, coverage map, complexity findings, risk tiers, and a migration-scope recommendation (what is quotable today on supported constructs vs. what requires grammar expansion). Every number carries a Trutina grade and a provenance field. The report itself is hashed and entered in the ledger.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Acceptance criteria (all must pass)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Runs end-to-end against (a) the RELIAN-BENCH public corpus and (b) at least two public real-world COBOL codebases (e.g., open-source COBOL projects) with zero manual intervention.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Byte-identical report output on repeated runs over the same input (determinism test in CI).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Coverage analyzer agrees with the transpiler: every construct the analyzer marks SUPPORTED actually transpiles; every UNSUPPORTED construct triggers the honest-failure path. This cross-check runs in CI.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Report template lint: zero fields that are not populated from a measurement. A template containing any literal number fails the build.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Operator time for a fresh codebase: under one day, documented in the runbook.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32D5A"/>
          <w:sz w:val="25"/>
          <w:szCs w:val="25"/>
        </w:rPr>
        <w:t xml:space="preserve">Phase 2 — Data Discovery Engine: the $12K Product (Weeks 4–7)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 turnkey Data Discovery engagement producing a signed data dictionary, lineage map, and draft target schema.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Design (build in this order)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Copybook parser — full PIC clause semantics (display/COMP/COMP-3, signs, scaling), level numbers, REDEFINES, OCCURS (fixed and DEPENDING ON), 88-level condition names. Output: canonical record-layout model with byte offsets and lengths.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Field-level data dictionary — every field: name, type, length, offset, picture, condition values, and the copybooks/programs that reference it.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File inventory — from JCL (DD statements, DSN patterns, VSAM vs sequential signals) and program SELECT/ASSIGN clauses; map datasets to record layouts.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Lineage mapping — which programs READ/WRITE/REWRITE which files and records; render as a machine-readable graph plus a human-readable diagram in the report.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Target schema recommendation — draft relational DDL from the record layouts: REDEFINES → documented variant tables or discriminated columns; OCCURS → child tables; COMP-3 → NUMERIC precision mapping. Clearly graded ◐ PLAUSIBLE (a recommendation, not a measurement) with rationale per mapping decision.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Report generator — same discipline as Phase 1: signed, hashed, ledger-entered, Trutina-graded, deterministic.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Round-trip check in CI: generated record layouts re-serialize to the same byte offsets/lengths as the parsed copybooks.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Runs against the bench corpus copybooks plus at least one public real-world copybook set; deterministic output verified.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Lineage graph validated by hand on one bench program (documented in /docs) and by automated cross-check (every file referenced in a SELECT appears in the inventory).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DDL draft loads without error into PostgreSQL in CI (syntax validity is measurable — measure it).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32D5A"/>
          <w:sz w:val="25"/>
          <w:szCs w:val="25"/>
        </w:rPr>
        <w:t xml:space="preserve">Phase 3 — Solana Root-Hash Anchoring (Week 5, parallel with Phase 2)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Close the Exhibit D “blockchain attestation on Solana” representation honestly. The ledger root hash is anchored to Solana mainnet per attestation; any third party can re-derive the root AND verify the on-chain anchor. This upgrades the claim: chain-anchored AND independently re-derivable.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Design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Anchoring writer — compute the ledger root hash at attestation time; write it to Solana mainnet via a memo transaction from a dedicated low-value Visionblox wallet. Record the transaction signature in the ledger entry. Wallet keys follow R4 custody: Khaalis provisions; code consumes a signing interface.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Failure honesty — if the chain write fails (RPC outage, fee spike), the attestation states “ledger-only; anchoring pending” and a retry queue completes it. Never fake a signature; never block delivery on chain availability. The honest state of a pending anchor is its absence, stated plainly.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Public verifier — a standalone script (no Visionblox credentials required) that (a) re-derives the ledger root from the published chain, and (b) fetches the memo transaction and compares. This script ships with every deliverable and appears in every proposal.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End-to-end on devnet in CI (mainnet in release runs): attest → anchor → verify, fully automated.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grep of the entire codebase for simulated returns zero mainline hits.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Cost per anchor documented (it is trivial — fractions of a cent — but document it for pricing).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32D5A"/>
          <w:sz w:val="25"/>
          <w:szCs w:val="25"/>
        </w:rPr>
        <w:t xml:space="preserve">Phase 4 — Transpiler Coverage Expansion, Bench-First (Weeks 6–10, then continuous)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Grow the supported-construct scope in the direction real assessments point — never speculatively — while the CI thresholds hold.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The loop (repeat per expansion)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Demand signal: the Phase 1 unsupported-construct inventory (from real or dry-run assessments) ranks which constructs block the most LOC. That ranking, not intuition, chooses what to build next.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Bench first: Khaalis authors/extends oracle COBOL programs exercising the target construct, generates and seals new held-out vectors, signs the bundle. (Akil/AJ can draft candidate oracle programs; sealing and signing stay with key custody.)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Only then: extend the C1 grammar/rules. The construct is “supported” on the day the held-out leg passes in CI — not the day the code compiles.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coverage analyzer picks up the new grammar automatically (this is why Phase 1 derives the supported set programmatically).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Acceptance criteria (per expansion)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BER 1.0000 on the expanded held-out set; build rate 1.00; branch coverage ≥ 0.80 — same gates, larger scope.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Bench commit (signed bundle) predates the grammar merge in git history. The ordering IS the discipline; CI asserts it.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32D5A"/>
          <w:sz w:val="25"/>
          <w:szCs w:val="25"/>
        </w:rPr>
        <w:t xml:space="preserve">Phase 5 — Delivery &amp; Engagement Hardening (Weeks 8–12)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Everything around the code that a paying engagement requires.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Build items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Per-project metrics report — customer-facing measured-metrics summary generated from CI artifacts for each migration engagement (BER on project scope, build rate, coverage, honest-failure inventory, attestation references).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Quotable-capability matrix — a versioned YAML/JSON file listing exactly what may be quoted (today: COBOL→Java on supported constructs, measured metrics, attestation ledger + anchoring, $8K assessment, $12K discovery). A lint step fails any quote/report template referencing anything else. This turns the contract's quote-gate control point into code.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Defect-support tooling — lightweight intake (email/form → SQLite per MVCI), severity clocks for the 90-day window, ledger-logged resolutions. SOP first, tool second.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Engagement runbook — step-by-step operator guide for each product: intake checklist, run commands, QA pass, signing handoff to Khaalis, delivery packaging, invoice (contract number SPB26-0608GW-VSNBLX on every invoice — the State is not obligated to pay without it).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SOP pack v1 — breach notification, data disposition (NIST 800-88), defect-support process, legal-request handling. Drafted as versioned markdown in the repo; cheap to produce, expensive to lack during an incident.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 full dry-run engagement: public COBOL codebase → assessment report → discovery report → mock migration of supported scope → per-project metrics report → anchored attestation — executed end-to-end following only the runbook. The dry-run outputs become the sales demo artifacts.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Template lint wired into CI; a deliberately planted unquotable claim fails the build (test the gate itself).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32D5A"/>
          <w:sz w:val="25"/>
          <w:szCs w:val="25"/>
        </w:rPr>
        <w:t xml:space="preserve">Phase 6 — Demand-Gated (Do Not Start Without a Buyer Signal)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ML risk scoring: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only if a SOW demands it — then build-and-measure against labeled defect data with the accuracy reported as measured, or formally retire the claim. Never quote 85% unmeasured.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MUMPS→Node.js (most likely second pair):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trigger is healthcare demand via the cooperative channel (the CAH thesis). Same lifecycle: oracle corpus → sealed vectors → transpiler → held-out pass → quotable.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Platform dashboards / SLA tiers: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trigger is a real subscription prospect. SLA credits are real money — price them, don't gift them.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7. Definition of Done — The “Ready for Buyers” Checklist</w:t>
      </w:r>
    </w:p>
    <w:p>
      <w:pPr>
        <w:spacing w:after="140" w:before="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Relian is ready for buyers when every line below is checked. Print this; check it against CI evidence, not memory.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340"/>
        <w:gridCol w:w="3500"/>
      </w:tblGrid>
      <w:tr>
        <w:trPr>
          <w:tblHeader/>
        </w:trPr>
        <w:tc>
          <w:tcPr>
            <w:tcW w:type="dxa" w:w="52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34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5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$8K Assessment runs turnkey on a fresh COBOL codebase; signed, deterministic report; &lt; 1 day operator time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Dry-run artifacts + CI determinism test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$12K Data Discovery runs turnkey; dictionary, lineage, DDL draft; DDL loads in PostgreSQL</w:t>
            </w:r>
          </w:p>
        </w:tc>
        <w:tc>
          <w:tcPr>
            <w:tcW w:type="dxa" w:w="35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Dry-run artifacts + CI round-trip test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Coverage analyzer and transpiler agree (SUPPORTED transpiles; UNSUPPORTED fails honestly)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CI cross-check green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Solana anchoring live; public verifier ships; zero simulated code paths</w:t>
            </w:r>
          </w:p>
        </w:tc>
        <w:tc>
          <w:tcPr>
            <w:tcW w:type="dxa" w:w="35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Mainnet tx signatures in ledger; grep clean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CI thresholds green on current scope: BER 1.0000, build 1.00, coverage ≥ 0.80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CI run records on main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Quotable-capability matrix enforced by template lint (gate itself tested)</w:t>
            </w:r>
          </w:p>
        </w:tc>
        <w:tc>
          <w:tcPr>
            <w:tcW w:type="dxa" w:w="35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Failing-lint test in CI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Per-project metrics report generator produces the customer deliverable from CI artifacts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Dry-run metrics report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Runbook + SOP pack v1 versioned in repo; dry-run executed from runbook alone</w:t>
            </w:r>
          </w:p>
        </w:tc>
        <w:tc>
          <w:tcPr>
            <w:tcW w:type="dxa" w:w="35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Repo /docs + dry-run log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Defect-support intake and 90-day tracking operational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Test ticket lifecycle in staging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Demo artifact pack assembled from dry-run (report samples, verifier walkthrough, 30-second pitch alignment)</w:t>
            </w:r>
          </w:p>
        </w:tc>
        <w:tc>
          <w:tcPr>
            <w:tcW w:type="dxa" w:w="35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Sales-ready folder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2EA891" w:sz="4"/>
          <w:left w:val="single" w:color="2EA891" w:sz="24"/>
          <w:bottom w:val="single" w:color="2EA891" w:sz="4"/>
          <w:right w:val="single" w:color="2EA89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7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32D5A"/>
                <w:sz w:val="22"/>
                <w:szCs w:val="22"/>
              </w:rPr>
              <w:t xml:space="preserve">The one-sentence test for every merge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“If the Montana Legislative Auditor pulled this exact commit tomorrow under Exhibit A §3.1, would every number it can produce trace to a measurement?” If yes, merge. If no, it is not done — no matter how good the demo looks.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The remediation taught us this the hard way: integrity between what the product claims and how it is built is not optional. It is the product.</w:t>
            </w:r>
          </w:p>
        </w:tc>
      </w:tr>
    </w:tbl>
    <w:p>
      <w:pPr>
        <w:spacing w:after="120"/>
      </w:pPr>
    </w:p>
    <w:p>
      <w:pPr>
        <w:spacing w:after="140" w:before="0"/>
      </w:pPr>
      <w:r>
        <w:rPr>
          <w:rFonts w:ascii="Arial" w:cs="Arial" w:eastAsia="Arial" w:hAnsi="Arial"/>
          <w:i/>
          <w:iCs/>
          <w:color w:val="2E2E2E"/>
          <w:sz w:val="19"/>
          <w:szCs w:val="19"/>
        </w:rPr>
        <w:t xml:space="preserve">Document control: v1.0, August 8, 2026. Prepared under ZCS-6 discipline and Trutina evidence governance. Build-state claims trace to git history, CI run records, RELIAN-BENCH signed bundles, and the Contract Reconciliation v1.1 (SPB26-0608GW-VSNBLX). Visionblox internal — not for external distribution. Questions and escalations: K. Wooden.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60"/>
      </w:pPr>
    </w:lvl>
    <w:lvl w:ilvl="1" w15:tentative="1">
      <w:start w:val="1"/>
      <w:numFmt w:val="bullet"/>
      <w:lvlText w:val="◦"/>
      <w:lvlJc w:val="star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2026-08-08T16:48:22.963Z</dcterms:created>
  <dcterms:modified xsi:type="dcterms:W3CDTF">2026-08-08T16:48:22.979Z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