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32D5A"/>
          <w:sz w:val="36"/>
          <w:szCs w:val="36"/>
        </w:rPr>
        <w:t xml:space="preserve">VISIONBLOX LLC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2EA891"/>
          <w:sz w:val="28"/>
          <w:szCs w:val="28"/>
        </w:rPr>
        <w:t xml:space="preserve">AI VENDOR STACK AUDIT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Compliance Verification Workbook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Montana Master AI Products &amp; Services (SPB-RFP-2026-0608GW)</w:t>
      </w:r>
    </w:p>
    <w:p>
      <w:pPr>
        <w:pBdr>
          <w:top w:val="single" w:color="F7B801" w:sz="24" w:space="8"/>
        </w:pBdr>
        <w:spacing w:after="200" w:before="200"/>
        <w:jc w:val="center"/>
      </w:pPr>
      <w:r>
        <w:rPr>
          <w:rFonts w:ascii="Arial" w:cs="Arial" w:eastAsia="Arial" w:hAnsi="Arial"/>
        </w:rPr>
        <w:t xml:space="preserve"/>
      </w:r>
    </w:p>
    <w:p>
      <w:pPr>
        <w:spacing w:after="80" w:before="600"/>
        <w:jc w:val="center"/>
      </w:pPr>
      <w:r>
        <w:rPr>
          <w:rFonts w:ascii="Arial" w:cs="Arial" w:eastAsia="Arial" w:hAnsi="Arial"/>
          <w:b/>
          <w:bCs/>
          <w:color w:val="232D5A"/>
          <w:sz w:val="20"/>
          <w:szCs w:val="20"/>
        </w:rPr>
        <w:t xml:space="preserve">Regulatory Basis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Exhibit C §15 (Use of AI + Data Location)  |  Exhibit C §1e (Remote Access)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MCA 2-6-1501 to 1503 (State Agency Protection of Personal Information)</w:t>
      </w:r>
    </w:p>
    <w:p>
      <w:pPr>
        <w:spacing w:after="80" w:before="40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Prepared by: Antony Jayaraj, Director of Data Engineering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Reviewed by: Akil R. Chellam, CEO (interim CISO coverage)  |  Approved by: Akil R. Chellam, CEO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Compiled by: Khaalis Wooden, MBA — Director of Enterprise Capture &amp; Compliance</w:t>
      </w:r>
    </w:p>
    <w:p>
      <w:pPr>
        <w:spacing w:after="80" w:before="200"/>
        <w:jc w:val="center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Audit Date: ____________________  |  Target Completion: 7/11/2026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Version: 1.0</w:t>
      </w:r>
    </w:p>
    <w:p>
      <w:pPr>
        <w:spacing w:after="80" w:before="20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CAGE 9Z4X2  |  UEI H4X2Z7R9E3E3  |  GSA MAS SIN 54151HEAL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32D5A"/>
          <w:sz w:val="18"/>
          <w:szCs w:val="18"/>
        </w:rPr>
        <w:t xml:space="preserve">CONFIDENTIAL — INTERNAL COMPLIANCE USE</w:t>
      </w:r>
    </w:p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1.  Purpose &amp; Scope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This workbook documents Visionblox LLC's audit of each downstream AI/LLM/foundation-model vendor whose services may be used to deliver task orders under the Montana Master AI Products and Services vehicle (SPB-RFP-2026-0608GW).</w:t>
      </w:r>
    </w:p>
    <w:p>
      <w:pPr>
        <w:spacing w:after="6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Its purpose is threefold: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1.  Verify that every AI vendor in the VBX delivery stack contractually prohibits training on customer data — a hard requirement under Exhibit C §15.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2.  Verify that all data processing occurs within US jurisdictional boundaries — required by Exhibit C §1e (Remote Access) and §15 (Data Location, FIPS 199 Moderate).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3.  Establish an "Approved AI Stack for Montana Task Orders" — the definitive list of vendors and models cleared for use, with any conditions or restrictions documented.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Scope covers foundation-model APIs, managed AI platforms, retrieval-augmented generation services, embedding services, and any third-party AI component whose infrastructure processes State-supplied inputs or generates outputs incorporating State data.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1.1  Out of Scope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covered by this audit: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AI models developed and hosted entirely on VBX-owned or VBX-controlled US infrastructure (documented separately in the Cloud Architecture US-Only Posture Memo).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Client-side AI tooling used by VBX personnel for internal productivity (unless State data is submitted to those tools — which is prohibited).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General-purpose SaaS products with incidental AI features not used in delivery of State work.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1.2  Audit Refresh Cadence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Vendor terms change. This audit is a living document. Refresh triggers: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Annually (calendar reminder set for July 1 each year)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Whenever a new vendor is added to the VBX delivery stack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Whenever an existing vendor updates its Terms of Service, Data Processing Addendum, or Enterprise Agreement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Whenever a new Montana task order proposes a use case not covered by prior audit entries</w:t>
      </w:r>
    </w:p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2.  Regulatory Baseline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compliance floor for this audit. Every audited vendor must be evaluated against every row of the following table. A vendor may pass, pass with conditions, or fail — but the evaluation must be documented against each requirement.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Contractual / Statutory Basis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 (Paraphrased)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Exhibit C §15 — Use of AI (a)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Contractor shall inform State of use of generative AI prior to performance and identify areas of intended use.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Exhibit C §15 — Use of AI (b)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Any AI-generated output impacting State intellectual property must be annotated with source citations, references, and materials used.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30000"/>
                <w:sz w:val="18"/>
                <w:szCs w:val="18"/>
              </w:rPr>
              <w:t xml:space="preserve">Exhibit C §15 — Use of AI (c)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Contractor is PROHIBITED from using State materials or data in generative AI queries.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30000"/>
                <w:sz w:val="18"/>
                <w:szCs w:val="18"/>
              </w:rPr>
              <w:t xml:space="preserve">Exhibit C §15 — Use of AI (d)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Contractor is PROHIBITED from building or training proprietary generative AI programs on State materials without prior written State permission.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Exhibit C §15 — Use of AI (e)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Contractor attests that generative AI models use ONLY properly licensed material as training inputs.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Exhibit C §15 — Use of AI (f)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Contractor shall immediately notify State of any breach or unauthorized use.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30000"/>
                <w:sz w:val="18"/>
                <w:szCs w:val="18"/>
              </w:rPr>
              <w:t xml:space="preserve">Exhibit C §15 — Data Location (Moderate)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Contractor shall not store, process, or transfer any non-public State data outside the United States — including for services or back-up and disaster recovery.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Exhibit C §15 — Subsequent Use / Syndicated Data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Contractor may not use State data for any purpose other than fulfilling the service. No subsequent use without express written State authorization. May not create syndicated data.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30000"/>
                <w:sz w:val="18"/>
                <w:szCs w:val="18"/>
              </w:rPr>
              <w:t xml:space="preserve">Exhibit C §1e — Remote Access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MT IT resources shall not be accessed by Contractor, officers, employees, agents, subcontractors, affiliated users, or any subcontractors located outside the legal jurisdictional boundary of the United States.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MCA 2-6-1501(5)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Defines "Personal Information": first name/initial + last name in combination with SSN, driver's license/state ID, tribal ID, account/credit/debit number + access code, medical record info (33-19-104), TIN, or IRS IP PIN — when not encrypted.</w:t>
            </w:r>
          </w:p>
        </w:tc>
      </w:tr>
      <w:tr>
        <w:tc>
          <w:tcPr>
            <w:tcW w:type="dxa" w:w="26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MCA 2-6-1503(4)</w:t>
            </w:r>
          </w:p>
        </w:tc>
        <w:tc>
          <w:tcPr>
            <w:tcW w:type="dxa" w:w="6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 parties handling state agency personal information must maintain an information security policy AND breach notification procedures.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3.  Audit Criteria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Ten criteria applied to every vendor. Each vendor entry (Section 5) must record a verdict against every criterion.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500"/>
        <w:gridCol w:w="15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Verify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 Options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Terms of Service, Data Processing Addendum (DPA), or Enterprise Agreement expressly states that customer inputs, outputs, prompts, or fine-tuning data are NOT used to train, retrain, or improve foundation models, either by default or as the only enterprise-tier option.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supports selection of US-only processing regions AND commits (contractually or via product configuration) that data will not leave selected US regions during processing, backup, or DR. Cross-border data transfer explicitly disabled.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commits to a defined retention window (typically 30 days or less for enterprise tiers) after which prompts/outputs are deleted. Customer-requested immediate deletion is available.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TLS 1.2 minimum (TLS 1.3 preferred) in transit. AES-256 or equivalent at rest. Customer-managed encryption keys (CMK) available for enterprise tier.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 minimum ONE of: SOC 2 Type II, ISO 27001, ISO 42001 (AI management), FedRAMP Moderate or High, HITRUST. Current report/certificate obtainable under NDA.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SSO/SAML supported. Role-based access control. MFA-required for admin actions. API key rotation supported.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offers appropriate contract vehicle: Enterprise Agreement, Business Associate Agreement (BAA) if PHI-adjacent, Data Processing Addendum (DPA). Default clickwrap terms alone are NOT sufficient for MT delivery.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publicly attests that training data was obtained through proper licensing, publicly available sources, or with rights-holder consent — supports VBX's Exhibit C §15(e) attestation obligation upstream.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commits to notify VBX of any security incident within a defined SLA (72 hours or less preferred, as this aligns with VBX's obligation to notify the State immediately under MCA 2-6-1503(2)(a)(i)).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 permits VBX audit or attestation review (may be satisfied by SOC 2 Type II annual reports without on-site audit; sufficient for most SLED contexts).</w:t>
            </w:r>
          </w:p>
        </w:tc>
        <w:tc>
          <w:tcPr>
            <w:tcW w:type="dxa" w:w="15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PASS / PASS w/ Conditions / FAIL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3.1  Verdict Definitions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633"/>
          <w:sz w:val="20"/>
          <w:szCs w:val="20"/>
        </w:rPr>
        <w:t xml:space="preserve">PASS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Vendor meets the criterion at the enterprise tier VBX will contract at. No conditions or workarounds required. Approved for MT task order use.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996600"/>
          <w:sz w:val="20"/>
          <w:szCs w:val="20"/>
        </w:rPr>
        <w:t xml:space="preserve">PASS w/ Conditions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Vendor meets the criterion only if VBX configures a specific option, executes a specific agreement, or accepts a specific use restriction. Approved for MT task order use ONLY with the condition documented and enforced.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30000"/>
          <w:sz w:val="20"/>
          <w:szCs w:val="20"/>
        </w:rPr>
        <w:t xml:space="preserve">FAIL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Vendor does not meet the criterion. Vendor CANNOT be used for MT task orders involving State data until remediated.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3.2  Overall Vendor Verdict Logic</w:t>
      </w:r>
    </w:p>
    <w:p>
      <w:pPr>
        <w:spacing w:after="6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 overall vendor verdict is the strictest of any individual criterion verdict: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All ten PASS → Vendor verdict: APPROVED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Any PASS w/ Conditions, no FAIL → Vendor verdict: APPROVED WITH CONDITIONS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Any single FAIL → Vendor verdict: NOT APPROVED</w:t>
      </w:r>
    </w:p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4.  Approved AI Stack Matrix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Summary view. Populate this table AFTER completing individual vendor detail sheets in Section 5. This is the reference to share with VBX proposal writers when scoping MT task order bids.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800"/>
        <w:gridCol w:w="2760"/>
      </w:tblGrid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Vendor / Product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Model(s) Approved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1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2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3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4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5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6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7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8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9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  <w:tr>
        <w:tc>
          <w:tcPr>
            <w:tcW w:type="dxa" w:w="2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10</w:t>
            </w:r>
          </w:p>
        </w:tc>
        <w:tc>
          <w:tcPr>
            <w:tcW w:type="dxa" w:w="2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Model(s)</w:t>
            </w:r>
          </w:p>
        </w:tc>
        <w:tc>
          <w:tcPr>
            <w:tcW w:type="dxa" w:w="1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Verdict</w:t>
            </w:r>
          </w:p>
        </w:tc>
        <w:tc>
          <w:tcPr>
            <w:tcW w:type="dxa" w:w="27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Use cases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  Vendor Detail Sheets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following pages contain one blank template sheet and eight pre-labeled placeholder sheets for AI vendors likely to be in scope. Populate the ones relevant to VBX's Montana delivery stack; delete placeholders for vendors not used; duplicate the template for any additional vendors.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Common Vendors To Consider</w:t>
      </w:r>
    </w:p>
    <w:p>
      <w:pPr>
        <w:spacing w:after="3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Anthropic (Claude API — Enterprise / Bedrock / Vertex AI hosted)</w:t>
      </w:r>
    </w:p>
    <w:p>
      <w:pPr>
        <w:spacing w:after="3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OpenAI (Enterprise tier / API / Azure OpenAI hosted)</w:t>
      </w:r>
    </w:p>
    <w:p>
      <w:pPr>
        <w:spacing w:after="3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Microsoft Azure OpenAI Service</w:t>
      </w:r>
    </w:p>
    <w:p>
      <w:pPr>
        <w:spacing w:after="3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AWS Bedrock (multi-model gateway)</w:t>
      </w:r>
    </w:p>
    <w:p>
      <w:pPr>
        <w:spacing w:after="3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Google Vertex AI / Gemini API</w:t>
      </w:r>
    </w:p>
    <w:p>
      <w:pPr>
        <w:spacing w:after="3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Meta Llama (self-hosted vs. Bedrock/Vertex)</w:t>
      </w:r>
    </w:p>
    <w:p>
      <w:pPr>
        <w:spacing w:after="3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Cohere (Command R+ / Embed)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Mistral AI (La Plateforme / Bedrock hosted)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Note: When a foundation model is accessed via a cloud hyperscaler gateway (e.g., Anthropic Claude via AWS Bedrock), BOTH vendors' terms apply and BOTH should be audited. Document the composite verdict.</w:t>
      </w:r>
    </w:p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5.1  Vendor Detail Sheet — TEMPLATE (Blank)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Anthropic, PBC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5.2  Vendor Detail Sheet — Anthropic (Claude API — direct)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Anthropic (Claude API — direct)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5.3  Vendor Detail Sheet — AWS Bedrock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AWS Bedrock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5.4  Vendor Detail Sheet — OpenAI Enterprise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OpenAI Enterprise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5.5  Vendor Detail Sheet — Microsoft Azure OpenAI Service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Microsoft Azure OpenAI Service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5.6  Vendor Detail Sheet — Google Vertex AI / Gemini API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Google Vertex AI / Gemini API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5.7  Vendor Detail Sheet — Vendor 6 — [populate as needed]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6 — [populate as needed]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5.8  Vendor Detail Sheet — Vendor 7 — [populate as needed]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0"/>
          <w:szCs w:val="20"/>
        </w:rPr>
        <w:t xml:space="preserve">Populate every field. If a criterion cannot be verified, mark it FAIL and document the gap.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Vendor Identity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Name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Vendor 7 — [populate as needed]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Product / Service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Product tier and SKU (e.g., API — Enterprise, Bedrock provisioned throughput)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Model(s) Evaluated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each model or model family (e.g., claude-opus-4-7, claude-sonnet-4-6)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Vendor Docs URLs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Terms of Service; DPA; Trust Center; Attestation reports (SOC 2, etc.)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Point of Contact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Account manager or partner contact + email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Contract Vehicle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Enterprise Agreement / BAA / DPA / Clickwrap — status of each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Executed Date</w:t>
            </w:r>
          </w:p>
        </w:tc>
        <w:tc>
          <w:tcPr>
            <w:tcW w:type="dxa" w:w="69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Criterion Evaluation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4800"/>
        <w:gridCol w:w="1660"/>
      </w:tblGrid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 / Source (Contract §, URL, DPA §)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training on customer data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US-only data residency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retention &amp; deletion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Encryption in transit &amp; at rest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Third-party attestations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Access controls &amp; authentication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mechanism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licensing attestation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Breach notification SLA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  <w:tr>
        <w:tc>
          <w:tcPr>
            <w:tcW w:type="dxa" w:w="5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Audit rights</w:t>
            </w:r>
          </w:p>
        </w:tc>
        <w:tc>
          <w:tcPr>
            <w:tcW w:type="dxa" w:w="48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Cite section / URL / DPA reference</w:t>
            </w:r>
          </w:p>
        </w:tc>
        <w:tc>
          <w:tcPr>
            <w:tcW w:type="dxa" w:w="16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PASS / PASS w/C / FAIL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Overall Verdict &amp; Scope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Overall Vendor Verdict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APPROVED / APPROVED WITH CONDITIONS / NOT APPROVED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Conditions / Restrictions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List conditions that MUST be enforced during use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document summarization; data extraction; RAG retrieval; classification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Prohibited Use Cases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e.g., no fine-tuning on State data; no PHI without BAA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Reviewer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Name + role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Concurrence (interim: CEO; per-TO cyber partner if engaged)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Signature/initial + date</w:t>
            </w:r>
          </w:p>
        </w:tc>
      </w:tr>
      <w:tr>
        <w:tc>
          <w:tcPr>
            <w:tcW w:type="dxa" w:w="30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Next Review Due</w:t>
            </w:r>
          </w:p>
        </w:tc>
        <w:tc>
          <w:tcPr>
            <w:tcW w:type="dxa" w:w="6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Annually or on vendor terms change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A891"/>
          <w:sz w:val="22"/>
          <w:szCs w:val="22"/>
        </w:rPr>
        <w:t xml:space="preserve">Notes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Any relevant context: known gotchas, contract negotiation notes, alternate SKUs, dependency on other vendors' models (e.g., Claude via Bedrock triggers dual audit), pricing implications, procurement notes.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6.  Governance &amp; Change Control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6.1  Roles &amp; Responsibilities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Owner: Antony Jayaraj (Director of Data Engineering) — populates vendor detail sheets, maintains this workbook.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Reviewer: Akil R. Chellam (CEO, interim CISO coverage) — concurs on every vendor verdict; owns overall security policy while dedicated CISO reassignment is pending.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Approver: Akil R. Chellam (CEO) — approves Approved AI Stack Matrix; approves each vendor for MT task order use.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Compliance Officer: Khaalis Wooden (Director of Enterprise Capture &amp; Compliance) — coordinates workbook updates before each TO bid.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6.2  When to Update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New vendor added to VBX delivery stack → new vendor detail sheet added and completed before use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Existing vendor updates ToS, DPA, or Enterprise Agreement → refresh existing sheet + note in change log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New MT task order with a use case not covered by prior audit entries → verify approved use cases still cover TO scope; update if needed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• Annual review — July 1 each year (calendar reminder)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6.3  Change Log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change to this workbook must be recorded. Do not overwrite prior entries — append.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Date | Change | Reviewer | Approver
[Populate as changes are made]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6.4  Escalation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If a vendor moves from APPROVED to NOT APPROVED (e.g., ToS change eliminates the no-training guarantee), the Compliance Officer must: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1. Immediately pause any use of that vendor in MT delivery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2. Notify Akil + Khaalis within 24 hours (plus external cyber partner if engaged on the affected TO)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3. If the vendor is in active use on a task order, notify the MT contracting agency per Exhibit C §15 (Contractor shall inform State of use of generative AI prior to performance)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4. Identify a compliant alternative vendor OR remediate the finding OR terminate the use case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232D5A"/>
          <w:sz w:val="24"/>
          <w:szCs w:val="24"/>
        </w:rPr>
        <w:t xml:space="preserve">6.5  Attestation Ties</w:t>
      </w:r>
    </w:p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VBX must attest to the State that AI models used in delivery use only properly licensed material (Exhibit C §15(e)). This workbook provides the traceable evidence supporting that attestation. Individual vendor Criterion #8 verdicts, aggregated, form the basis for the VBX-level attestation.</w:t>
      </w:r>
    </w:p>
    <w:p>
      <w:r>
        <w:br w:type="page"/>
      </w:r>
    </w:p>
    <w:p>
      <w:pPr>
        <w:pStyle w:val="Heading1"/>
        <w:pBdr>
          <w:bottom w:val="single" w:color="2EA891" w:sz="12" w:space="6"/>
        </w:pBdr>
        <w:spacing w:after="160" w:before="360"/>
      </w:pPr>
      <w:r>
        <w:rPr>
          <w:rFonts w:ascii="Arial" w:cs="Arial" w:eastAsia="Arial" w:hAnsi="Arial"/>
          <w:b/>
          <w:bCs/>
          <w:color w:val="232D5A"/>
          <w:sz w:val="30"/>
          <w:szCs w:val="30"/>
        </w:rPr>
        <w:t xml:space="preserve">7.  Sign-Off</w:t>
      </w:r>
    </w:p>
    <w:p>
      <w:pPr>
        <w:spacing w:after="20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This sign-off block should be completed at every full workbook refresh (minimum annually). By signing, the parties confirm the Approved AI Stack Matrix in Section 4 is current and each vendor listed as APPROVED is cleared for use in Montana task order delivery consistent with the conditions documented herein.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1440"/>
        <w:gridCol w:w="2040"/>
      </w:tblGrid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48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4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0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232D5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Prepared By (Owner)</w:t>
            </w:r>
          </w:p>
        </w:tc>
        <w:tc>
          <w:tcPr>
            <w:tcW w:type="dxa" w:w="348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Antony Jayaraj, Director of Data Engineering</w:t>
            </w:r>
          </w:p>
        </w:tc>
        <w:tc>
          <w:tcPr>
            <w:tcW w:type="dxa" w:w="14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  <w:tc>
          <w:tcPr>
            <w:tcW w:type="dxa" w:w="20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Compliance Officer</w:t>
            </w:r>
          </w:p>
        </w:tc>
        <w:tc>
          <w:tcPr>
            <w:tcW w:type="dxa" w:w="348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Khaalis Wooden, MBA — Director of Enterprise Capture &amp; Compliance</w:t>
            </w:r>
          </w:p>
        </w:tc>
        <w:tc>
          <w:tcPr>
            <w:tcW w:type="dxa" w:w="14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  <w:tc>
          <w:tcPr>
            <w:tcW w:type="dxa" w:w="20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Security Review (Interim CISO Coverage)</w:t>
            </w:r>
          </w:p>
        </w:tc>
        <w:tc>
          <w:tcPr>
            <w:tcW w:type="dxa" w:w="348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Akil R. Chellam, CEO</w:t>
            </w:r>
          </w:p>
        </w:tc>
        <w:tc>
          <w:tcPr>
            <w:tcW w:type="dxa" w:w="14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  <w:tc>
          <w:tcPr>
            <w:tcW w:type="dxa" w:w="20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FF4D6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External Cyber Partner Review (per TO, if engaged)</w:t>
            </w:r>
          </w:p>
        </w:tc>
        <w:tc>
          <w:tcPr>
            <w:tcW w:type="dxa" w:w="348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Partner name + reviewer + title</w:t>
            </w:r>
          </w:p>
        </w:tc>
        <w:tc>
          <w:tcPr>
            <w:tcW w:type="dxa" w:w="14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  <w:tc>
          <w:tcPr>
            <w:tcW w:type="dxa" w:w="20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By (CEO)</w:t>
            </w:r>
          </w:p>
        </w:tc>
        <w:tc>
          <w:tcPr>
            <w:tcW w:type="dxa" w:w="348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2F2F2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Akil R. Chellam, CEO</w:t>
            </w:r>
          </w:p>
        </w:tc>
        <w:tc>
          <w:tcPr>
            <w:tcW w:type="dxa" w:w="14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MM/DD/YYYY</w:t>
            </w:r>
          </w:p>
        </w:tc>
        <w:tc>
          <w:tcPr>
            <w:tcW w:type="dxa" w:w="2040"/>
            <w:tcBorders>
              <w:top w:val="single" w:color="BFBFBF" w:sz="4"/>
              <w:start w:val="single" w:color="BFBFBF" w:sz="4"/>
              <w:bottom w:val="single" w:color="BFBFBF" w:sz="4"/>
              <w:end w:val="single" w:color="BFBFBF" w:sz="4"/>
            </w:tcBorders>
            <w:shd w:fill="FAFAFA" w:val="clear"/>
            <w:tcMar>
              <w:top w:type="dxa" w:w="100"/>
              <w:start w:type="dxa" w:w="140"/>
              <w:bottom w:type="dxa" w:w="100"/>
              <w:end w:type="dxa" w:w="14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/>
            </w:r>
          </w:p>
        </w:tc>
      </w:tr>
    </w:tbl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— End of Workbook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32D5A" w:sz="8" w:space="4"/>
        <w:top w:val="single" w:sz="8" w:space="4" w:color="F7B801"/>
      </w:pBdr>
      <w:jc w:val="center"/>
    </w:pPr>
    <w:r>
      <w:rPr>
        <w:rFonts w:ascii="Arial" w:cs="Arial" w:eastAsia="Arial" w:hAnsi="Arial"/>
        <w:color w:val="8892A4"/>
        <w:sz w:val="16"/>
        <w:szCs w:val="16"/>
      </w:rPr>
      <w:t xml:space="preserve">CAGE 9Z4X2  |  UEI H4X2Z7R9E3E3  |  GSA MAS SIN 54151HEAL  |  </w:t>
    </w:r>
    <w:r>
      <w:rPr>
        <w:rFonts w:ascii="Arial" w:cs="Arial" w:eastAsia="Arial" w:hAnsi="Arial"/>
        <w:color w:val="8892A4"/>
        <w:sz w:val="16"/>
        <w:szCs w:val="16"/>
      </w:rPr>
      <w:t xml:space="preserve">CONFIDENTIAL — INTERNAL COMPLIANCE USE  |  Page </w:t>
    </w:r>
    <w:r>
      <w:rPr>
        <w:rFonts w:ascii="Arial" w:cs="Arial" w:eastAsia="Arial" w:hAnsi="Arial"/>
        <w:color w:val="8892A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92A4"/>
        <w:sz w:val="16"/>
        <w:szCs w:val="16"/>
      </w:rPr>
      <w:t xml:space="preserve"> of </w:t>
    </w:r>
    <w:r>
      <w:rPr>
        <w:rFonts w:ascii="Arial" w:cs="Arial" w:eastAsia="Arial" w:hAnsi="Arial"/>
        <w:color w:val="8892A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auto" w:w="0"/>
      <w:tblLayout w:type="fixed"/>
      <w:tblLook w:firstColumn="1" w:firstRow="1" w:lastColumn="0" w:lastRow="0" w:noHBand="0" w:noVBand="1" w:val="04A0"/>
      <w:tblBorders>
        <w:top w:val="none" w:sz="0" w:space="0"/>
        <w:left w:val="none" w:sz="0" w:space="0"/>
        <w:bottom w:val="none" w:sz="0" w:space="0"/>
        <w:right w:val="none" w:sz="0" w:space="0"/>
        <w:insideH w:val="none" w:sz="0" w:space="0"/>
        <w:insideV w:val="none" w:sz="0" w:space="0"/>
      </w:tblBorders>
    </w:tblPr>
    <w:tblGrid>
      <w:gridCol w:w="4680"/>
      <w:gridCol w:w="4680"/>
    </w:tblGrid>
    <w:tr>
      <w:tc>
        <w:tcPr>
          <w:tcW w:type="dxa" w:w="3600"/>
          <w:vAlign w:val="center"/>
          <w:tcMar>
            <w:top w:w="0" w:type="dxa"/>
            <w:bottom w:w="0" w:type="dxa"/>
            <w:left w:w="0" w:type="dxa"/>
            <w:right w:w="0" w:type="dxa"/>
          </w:tcMar>
        </w:tcPr>
        <w:p>
          <w:pPr>
            <w:spacing w:after="0" w:before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54480" cy="6546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54480" cy="6546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760"/>
          <w:vAlign w:val="bottom"/>
          <w:tcMar>
            <w:top w:w="0" w:type="dxa"/>
            <w:bottom w:w="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r>
            <w:rPr>
              <w:rFonts w:ascii="Arial" w:hAnsi="Arial"/>
              <w:b/>
              <w:color w:val="232D5A"/>
              <w:sz w:val="16"/>
            </w:rPr>
            <w:t>AI Vendor Stack Audit  —  Montana Master AI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/>
              <w:color w:val="2EA891"/>
              <w:sz w:val="13"/>
            </w:rPr>
            <w:t>B U I L D   W H A T   D O E S N ' T   E X I S T   Y E T</w:t>
          </w:r>
        </w:p>
      </w:tc>
    </w:tr>
  </w:tbl>
  <w:p>
    <w:pPr>
      <w:spacing w:before="40" w:after="0"/>
      <w:pBdr>
        <w:bottom w:val="single" w:sz="12" w:space="1" w:color="2EA89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232D5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32D5A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VBX AI Vendor Stack Audit — Montana Master AI Delivery</dc:title>
  <dc:creator>Visionblox LLC</dc:creator>
  <dc:description>Compliance verification workbook for downstream AI/LLM vendors under Montana SPB-RFP-2026-0608GW</dc:description>
  <cp:lastModifiedBy>Un-named</cp:lastModifiedBy>
  <cp:revision>1</cp:revision>
  <dcterms:created xsi:type="dcterms:W3CDTF">2026-07-02T17:21:46.207Z</dcterms:created>
  <dcterms:modified xsi:type="dcterms:W3CDTF">2026-07-02T17:21:46.219Z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