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32D5A"/>
          <w:sz w:val="36"/>
          <w:szCs w:val="36"/>
        </w:rPr>
        <w:t xml:space="preserve">VISIONBLOX LLC</w:t>
      </w:r>
    </w:p>
    <w:p>
      <w:pPr>
        <w:spacing w:after="400" w:before="0"/>
        <w:jc w:val="center"/>
      </w:pPr>
      <w:r>
        <w:rPr>
          <w:rFonts w:ascii="Arial" w:cs="Arial" w:eastAsia="Arial" w:hAnsi="Arial"/>
          <w:b/>
          <w:bCs/>
          <w:color w:val="2EA891"/>
          <w:sz w:val="28"/>
          <w:szCs w:val="28"/>
        </w:rPr>
        <w:t xml:space="preserve">CLOUD ARCHITECTURE</w:t>
      </w:r>
    </w:p>
    <w:p>
      <w:pPr>
        <w:spacing w:after="400" w:before="0"/>
        <w:jc w:val="center"/>
      </w:pPr>
      <w:r>
        <w:rPr>
          <w:rFonts w:ascii="Arial" w:cs="Arial" w:eastAsia="Arial" w:hAnsi="Arial"/>
          <w:b/>
          <w:bCs/>
          <w:color w:val="2EA891"/>
          <w:sz w:val="28"/>
          <w:szCs w:val="28"/>
        </w:rPr>
        <w:t xml:space="preserve">US-ONLY POSTURE MEMO</w:t>
      </w:r>
    </w:p>
    <w:p>
      <w:pPr>
        <w:spacing w:after="200" w:before="0"/>
        <w:jc w:val="center"/>
      </w:pPr>
      <w:r>
        <w:rPr>
          <w:rFonts w:ascii="Arial" w:cs="Arial" w:eastAsia="Arial" w:hAnsi="Arial"/>
          <w:b/>
          <w:bCs/>
          <w:color w:val="000000"/>
          <w:sz w:val="22"/>
          <w:szCs w:val="22"/>
        </w:rPr>
        <w:t xml:space="preserve">Data Location, Region Selection &amp; Infrastructure Compliance</w:t>
      </w:r>
    </w:p>
    <w:p>
      <w:pPr>
        <w:spacing w:after="200" w:before="0"/>
        <w:jc w:val="center"/>
      </w:pPr>
      <w:r>
        <w:rPr>
          <w:rFonts w:ascii="Arial" w:cs="Arial" w:eastAsia="Arial" w:hAnsi="Arial"/>
          <w:color w:val="000000"/>
          <w:sz w:val="20"/>
          <w:szCs w:val="20"/>
        </w:rPr>
        <w:t xml:space="preserve">Montana Master AI Products &amp; Services (SPB-RFP-2026-0608GW)</w:t>
      </w:r>
    </w:p>
    <w:p>
      <w:pPr>
        <w:pBdr>
          <w:top w:val="single" w:color="F7B801" w:sz="24" w:space="8"/>
        </w:pBdr>
        <w:spacing w:after="200" w:before="200"/>
        <w:jc w:val="center"/>
      </w:pPr>
      <w:r>
        <w:rPr>
          <w:rFonts w:ascii="Arial" w:cs="Arial" w:eastAsia="Arial" w:hAnsi="Arial"/>
        </w:rPr>
        <w:t xml:space="preserve"/>
      </w:r>
    </w:p>
    <w:p>
      <w:pPr>
        <w:spacing w:after="80" w:before="400"/>
        <w:jc w:val="center"/>
      </w:pPr>
      <w:r>
        <w:rPr>
          <w:rFonts w:ascii="Arial" w:cs="Arial" w:eastAsia="Arial" w:hAnsi="Arial"/>
          <w:b/>
          <w:bCs/>
          <w:color w:val="232D5A"/>
          <w:sz w:val="20"/>
          <w:szCs w:val="20"/>
        </w:rPr>
        <w:t xml:space="preserve">Compliance Basis</w:t>
      </w:r>
    </w:p>
    <w:p>
      <w:pPr>
        <w:spacing w:after="40" w:before="0"/>
        <w:jc w:val="center"/>
      </w:pPr>
      <w:r>
        <w:rPr>
          <w:rFonts w:ascii="Arial" w:cs="Arial" w:eastAsia="Arial" w:hAnsi="Arial"/>
          <w:color w:val="000000"/>
          <w:sz w:val="20"/>
          <w:szCs w:val="20"/>
        </w:rPr>
        <w:t xml:space="preserve">Exhibit C §15 (Data Location — FIPS 199 Moderate, US-only, incl. backup &amp; DR)</w:t>
      </w:r>
    </w:p>
    <w:p>
      <w:pPr>
        <w:spacing w:after="40" w:before="0"/>
        <w:jc w:val="center"/>
      </w:pPr>
      <w:r>
        <w:rPr>
          <w:rFonts w:ascii="Arial" w:cs="Arial" w:eastAsia="Arial" w:hAnsi="Arial"/>
          <w:color w:val="000000"/>
          <w:sz w:val="20"/>
          <w:szCs w:val="20"/>
        </w:rPr>
        <w:t xml:space="preserve">Exhibit C §1e (Remote Access) | Exhibit C §9 (Cyber Security Insurance)</w:t>
      </w:r>
    </w:p>
    <w:p>
      <w:pPr>
        <w:spacing w:after="400" w:before="0"/>
        <w:jc w:val="center"/>
      </w:pPr>
      <w:r>
        <w:rPr>
          <w:rFonts w:ascii="Arial" w:cs="Arial" w:eastAsia="Arial" w:hAnsi="Arial"/>
          <w:color w:val="000000"/>
          <w:sz w:val="20"/>
          <w:szCs w:val="20"/>
        </w:rPr>
        <w:t xml:space="preserve">MCA 2-6-1501 to 1503 (State Agency Protection of Personal Information)</w:t>
      </w:r>
    </w:p>
    <w:p>
      <w:pPr>
        <w:spacing w:after="80" w:before="400"/>
        <w:jc w:val="center"/>
      </w:pPr>
      <w:r>
        <w:rPr>
          <w:rFonts w:ascii="Arial" w:cs="Arial" w:eastAsia="Arial" w:hAnsi="Arial"/>
          <w:color w:val="000000"/>
          <w:sz w:val="20"/>
          <w:szCs w:val="20"/>
        </w:rPr>
        <w:t xml:space="preserve">Prepared by: Antony Jayaraj, Director of Data Engineering</w:t>
      </w:r>
    </w:p>
    <w:p>
      <w:pPr>
        <w:spacing w:after="80" w:before="0"/>
        <w:jc w:val="center"/>
      </w:pPr>
      <w:r>
        <w:rPr>
          <w:rFonts w:ascii="Arial" w:cs="Arial" w:eastAsia="Arial" w:hAnsi="Arial"/>
          <w:color w:val="000000"/>
          <w:sz w:val="20"/>
          <w:szCs w:val="20"/>
        </w:rPr>
        <w:t xml:space="preserve">Reviewed by: Antony Jayaraj (Data Engineering)  |  Interim security review: Akil R. Chellam, CEO</w:t>
      </w:r>
    </w:p>
    <w:p>
      <w:pPr>
        <w:spacing w:after="80" w:before="0"/>
        <w:jc w:val="center"/>
      </w:pPr>
      <w:r>
        <w:rPr>
          <w:rFonts w:ascii="Arial" w:cs="Arial" w:eastAsia="Arial" w:hAnsi="Arial"/>
          <w:color w:val="000000"/>
          <w:sz w:val="20"/>
          <w:szCs w:val="20"/>
        </w:rPr>
        <w:t xml:space="preserve">Approved by: Akil R. Chellam, CEO &amp; Principal Architect</w:t>
      </w:r>
    </w:p>
    <w:p>
      <w:pPr>
        <w:spacing w:after="80" w:before="200"/>
        <w:jc w:val="center"/>
      </w:pPr>
      <w:r>
        <w:rPr>
          <w:rFonts w:ascii="Arial" w:cs="Arial" w:eastAsia="Arial" w:hAnsi="Arial"/>
          <w:color w:val="000000"/>
          <w:sz w:val="20"/>
          <w:szCs w:val="20"/>
        </w:rPr>
        <w:t xml:space="preserve">Memo Date: ____________________  |  Next Review: Annual + per-TO refresh</w:t>
      </w:r>
    </w:p>
    <w:p>
      <w:pPr>
        <w:spacing w:after="80" w:before="0"/>
        <w:jc w:val="center"/>
      </w:pPr>
      <w:r>
        <w:rPr>
          <w:rFonts w:ascii="Arial" w:cs="Arial" w:eastAsia="Arial" w:hAnsi="Arial"/>
          <w:color w:val="595959"/>
          <w:sz w:val="18"/>
          <w:szCs w:val="18"/>
        </w:rPr>
        <w:t xml:space="preserve">Version: 1.0</w:t>
      </w:r>
    </w:p>
    <w:p>
      <w:pPr>
        <w:spacing w:after="80" w:before="200"/>
        <w:jc w:val="center"/>
      </w:pPr>
      <w:r>
        <w:rPr>
          <w:rFonts w:ascii="Arial" w:cs="Arial" w:eastAsia="Arial" w:hAnsi="Arial"/>
          <w:color w:val="595959"/>
          <w:sz w:val="18"/>
          <w:szCs w:val="18"/>
        </w:rPr>
        <w:t xml:space="preserve">CAGE 9Z4X2  |  UEI H4X2Z7R9E3E3  |  GSA MAS SIN 54151HEAL</w:t>
      </w:r>
    </w:p>
    <w:p>
      <w:pPr>
        <w:spacing w:after="80" w:before="0"/>
        <w:jc w:val="center"/>
      </w:pPr>
      <w:r>
        <w:rPr>
          <w:rFonts w:ascii="Arial" w:cs="Arial" w:eastAsia="Arial" w:hAnsi="Arial"/>
          <w:b/>
          <w:bCs/>
          <w:color w:val="232D5A"/>
          <w:sz w:val="18"/>
          <w:szCs w:val="18"/>
        </w:rPr>
        <w:t xml:space="preserve">CONFIDENTIAL — INTERNAL COMPLIANCE USE</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1.  Purpose &amp; Scope</w:t>
      </w:r>
    </w:p>
    <w:p>
      <w:pPr>
        <w:spacing w:after="100" w:before="80"/>
        <w:jc w:val="left"/>
      </w:pPr>
      <w:r>
        <w:rPr>
          <w:rFonts w:ascii="Arial" w:cs="Arial" w:eastAsia="Arial" w:hAnsi="Arial"/>
          <w:b w:val="false"/>
          <w:bCs w:val="false"/>
          <w:i w:val="false"/>
          <w:iCs w:val="false"/>
          <w:color w:val="000000"/>
          <w:sz w:val="20"/>
          <w:szCs w:val="20"/>
        </w:rPr>
        <w:t xml:space="preserve">This memo documents the cloud architecture posture Visionblox LLC will maintain when delivering task orders under the Montana Master AI Products and Services vehicle (SPB-RFP-2026-0608GW). Its purpose is to demonstrate — to the State of Montana, to VBX auditors, and to internal delivery teams — that every element of VBX's cloud infrastructure used for MT delivery satisfies the US-only data location, processing, and transfer constraints imposed by Exhibit C.</w:t>
      </w:r>
    </w:p>
    <w:p>
      <w:pPr>
        <w:spacing w:after="100" w:before="80"/>
        <w:jc w:val="left"/>
      </w:pPr>
      <w:r>
        <w:rPr>
          <w:rFonts w:ascii="Arial" w:cs="Arial" w:eastAsia="Arial" w:hAnsi="Arial"/>
          <w:b w:val="false"/>
          <w:bCs w:val="false"/>
          <w:i w:val="false"/>
          <w:iCs w:val="false"/>
          <w:color w:val="000000"/>
          <w:sz w:val="20"/>
          <w:szCs w:val="20"/>
        </w:rPr>
        <w:t xml:space="preserve">The memo works as both (a) a policy document declaring VBX's posture, and (b) an audit checklist against which every MT task order architecture is verified before build-out.</w:t>
      </w:r>
    </w:p>
    <w:p>
      <w:pPr>
        <w:pStyle w:val="Heading2"/>
        <w:spacing w:after="100" w:before="220"/>
      </w:pPr>
      <w:r>
        <w:rPr>
          <w:rFonts w:ascii="Arial" w:cs="Arial" w:eastAsia="Arial" w:hAnsi="Arial"/>
          <w:b/>
          <w:bCs/>
          <w:color w:val="232D5A"/>
          <w:sz w:val="24"/>
          <w:szCs w:val="24"/>
        </w:rPr>
        <w:t xml:space="preserve">1.1  What This Memo Establishes</w:t>
      </w:r>
    </w:p>
    <w:p>
      <w:pPr>
        <w:spacing w:after="40" w:before="80"/>
        <w:jc w:val="left"/>
      </w:pPr>
      <w:r>
        <w:rPr>
          <w:rFonts w:ascii="Arial" w:cs="Arial" w:eastAsia="Arial" w:hAnsi="Arial"/>
          <w:b w:val="false"/>
          <w:bCs w:val="false"/>
          <w:i w:val="false"/>
          <w:iCs w:val="false"/>
          <w:color w:val="000000"/>
          <w:sz w:val="20"/>
          <w:szCs w:val="20"/>
        </w:rPr>
        <w:t xml:space="preserve">• The approved cloud providers and regions VBX may use for MT delivery.</w:t>
      </w:r>
    </w:p>
    <w:p>
      <w:pPr>
        <w:spacing w:after="40" w:before="80"/>
        <w:jc w:val="left"/>
      </w:pPr>
      <w:r>
        <w:rPr>
          <w:rFonts w:ascii="Arial" w:cs="Arial" w:eastAsia="Arial" w:hAnsi="Arial"/>
          <w:b w:val="false"/>
          <w:bCs w:val="false"/>
          <w:i w:val="false"/>
          <w:iCs w:val="false"/>
          <w:color w:val="000000"/>
          <w:sz w:val="20"/>
          <w:szCs w:val="20"/>
        </w:rPr>
        <w:t xml:space="preserve">• The data classification handling matrix for State-provided data at FIPS 199 Moderate.</w:t>
      </w:r>
    </w:p>
    <w:p>
      <w:pPr>
        <w:spacing w:after="40" w:before="80"/>
        <w:jc w:val="left"/>
      </w:pPr>
      <w:r>
        <w:rPr>
          <w:rFonts w:ascii="Arial" w:cs="Arial" w:eastAsia="Arial" w:hAnsi="Arial"/>
          <w:b w:val="false"/>
          <w:bCs w:val="false"/>
          <w:i w:val="false"/>
          <w:iCs w:val="false"/>
          <w:color w:val="000000"/>
          <w:sz w:val="20"/>
          <w:szCs w:val="20"/>
        </w:rPr>
        <w:t xml:space="preserve">• Architecture constraints that apply to every MT task order design.</w:t>
      </w:r>
    </w:p>
    <w:p>
      <w:pPr>
        <w:spacing w:after="40" w:before="80"/>
        <w:jc w:val="left"/>
      </w:pPr>
      <w:r>
        <w:rPr>
          <w:rFonts w:ascii="Arial" w:cs="Arial" w:eastAsia="Arial" w:hAnsi="Arial"/>
          <w:b w:val="false"/>
          <w:bCs w:val="false"/>
          <w:i w:val="false"/>
          <w:iCs w:val="false"/>
          <w:color w:val="000000"/>
          <w:sz w:val="20"/>
          <w:szCs w:val="20"/>
        </w:rPr>
        <w:t xml:space="preserve">• The current inventory of MT-relevant cloud services with each service's region assignment and compliance verdict.</w:t>
      </w:r>
    </w:p>
    <w:p>
      <w:pPr>
        <w:spacing w:after="100" w:before="80"/>
        <w:jc w:val="left"/>
      </w:pPr>
      <w:r>
        <w:rPr>
          <w:rFonts w:ascii="Arial" w:cs="Arial" w:eastAsia="Arial" w:hAnsi="Arial"/>
          <w:b w:val="false"/>
          <w:bCs w:val="false"/>
          <w:i w:val="false"/>
          <w:iCs w:val="false"/>
          <w:color w:val="000000"/>
          <w:sz w:val="20"/>
          <w:szCs w:val="20"/>
        </w:rPr>
        <w:t xml:space="preserve">• A change control mechanism for architecture changes during task order performance.</w:t>
      </w:r>
    </w:p>
    <w:p>
      <w:pPr>
        <w:pStyle w:val="Heading2"/>
        <w:spacing w:after="100" w:before="220"/>
      </w:pPr>
      <w:r>
        <w:rPr>
          <w:rFonts w:ascii="Arial" w:cs="Arial" w:eastAsia="Arial" w:hAnsi="Arial"/>
          <w:b/>
          <w:bCs/>
          <w:color w:val="232D5A"/>
          <w:sz w:val="24"/>
          <w:szCs w:val="24"/>
        </w:rPr>
        <w:t xml:space="preserve">1.2  Relationship to Other Compliance Documents</w:t>
      </w:r>
    </w:p>
    <w:p>
      <w:pPr>
        <w:spacing w:after="40" w:before="80"/>
        <w:jc w:val="left"/>
      </w:pPr>
      <w:r>
        <w:rPr>
          <w:rFonts w:ascii="Arial" w:cs="Arial" w:eastAsia="Arial" w:hAnsi="Arial"/>
          <w:b w:val="false"/>
          <w:bCs w:val="false"/>
          <w:i w:val="false"/>
          <w:iCs w:val="false"/>
          <w:color w:val="000000"/>
          <w:sz w:val="20"/>
          <w:szCs w:val="20"/>
        </w:rPr>
        <w:t xml:space="preserve">This memo covers cloud INFRASTRUCTURE. Companion documents cover other layers of the delivery stack:</w:t>
      </w:r>
    </w:p>
    <w:p>
      <w:pPr>
        <w:spacing w:after="40" w:before="80"/>
        <w:jc w:val="left"/>
      </w:pPr>
      <w:r>
        <w:rPr>
          <w:rFonts w:ascii="Arial" w:cs="Arial" w:eastAsia="Arial" w:hAnsi="Arial"/>
          <w:b w:val="false"/>
          <w:bCs w:val="false"/>
          <w:i w:val="false"/>
          <w:iCs w:val="false"/>
          <w:color w:val="000000"/>
          <w:sz w:val="20"/>
          <w:szCs w:val="20"/>
        </w:rPr>
        <w:t xml:space="preserve">• AI Vendor Stack Audit — covers foundation-model and LLM vendors (Anthropic, OpenAI, etc.).</w:t>
      </w:r>
    </w:p>
    <w:p>
      <w:pPr>
        <w:spacing w:after="40" w:before="80"/>
        <w:jc w:val="left"/>
      </w:pPr>
      <w:r>
        <w:rPr>
          <w:rFonts w:ascii="Arial" w:cs="Arial" w:eastAsia="Arial" w:hAnsi="Arial"/>
          <w:b w:val="false"/>
          <w:bCs w:val="false"/>
          <w:i w:val="false"/>
          <w:iCs w:val="false"/>
          <w:color w:val="000000"/>
          <w:sz w:val="20"/>
          <w:szCs w:val="20"/>
        </w:rPr>
        <w:t xml:space="preserve">• US-Only Delivery Roster — covers personnel authorized to access State systems.</w:t>
      </w:r>
    </w:p>
    <w:p>
      <w:pPr>
        <w:spacing w:after="100" w:before="80"/>
        <w:jc w:val="left"/>
      </w:pPr>
      <w:r>
        <w:rPr>
          <w:rFonts w:ascii="Arial" w:cs="Arial" w:eastAsia="Arial" w:hAnsi="Arial"/>
          <w:b w:val="false"/>
          <w:bCs w:val="false"/>
          <w:i w:val="false"/>
          <w:iCs w:val="false"/>
          <w:color w:val="000000"/>
          <w:sz w:val="20"/>
          <w:szCs w:val="20"/>
        </w:rPr>
        <w:t xml:space="preserve">• Breach Notification Procedure — covers incident response.</w:t>
      </w:r>
    </w:p>
    <w:p>
      <w:pPr>
        <w:spacing w:after="100" w:before="80"/>
        <w:jc w:val="left"/>
      </w:pPr>
      <w:r>
        <w:rPr>
          <w:rFonts w:ascii="Arial" w:cs="Arial" w:eastAsia="Arial" w:hAnsi="Arial"/>
          <w:b w:val="false"/>
          <w:bCs w:val="false"/>
          <w:i/>
          <w:iCs/>
          <w:color w:val="595959"/>
          <w:sz w:val="20"/>
          <w:szCs w:val="20"/>
        </w:rPr>
        <w:t xml:space="preserve">For hybrid cases (e.g., Claude accessed via AWS Bedrock), BOTH the AI Vendor Stack Audit AND this memo apply. Bedrock's regional posture is audited HERE; Claude's model terms are audited in the Vendor Stack Audit.</w:t>
      </w:r>
    </w:p>
    <w:p>
      <w:pPr>
        <w:pStyle w:val="Heading2"/>
        <w:spacing w:after="100" w:before="220"/>
      </w:pPr>
      <w:r>
        <w:rPr>
          <w:rFonts w:ascii="Arial" w:cs="Arial" w:eastAsia="Arial" w:hAnsi="Arial"/>
          <w:b/>
          <w:bCs/>
          <w:color w:val="232D5A"/>
          <w:sz w:val="24"/>
          <w:szCs w:val="24"/>
        </w:rPr>
        <w:t xml:space="preserve">1.3  Refresh Cadence</w:t>
      </w:r>
    </w:p>
    <w:p>
      <w:pPr>
        <w:spacing w:after="40" w:before="80"/>
        <w:jc w:val="left"/>
      </w:pPr>
      <w:r>
        <w:rPr>
          <w:rFonts w:ascii="Arial" w:cs="Arial" w:eastAsia="Arial" w:hAnsi="Arial"/>
          <w:b w:val="false"/>
          <w:bCs w:val="false"/>
          <w:i w:val="false"/>
          <w:iCs w:val="false"/>
          <w:color w:val="000000"/>
          <w:sz w:val="20"/>
          <w:szCs w:val="20"/>
        </w:rPr>
        <w:t xml:space="preserve">This memo is reviewed and re-approved:</w:t>
      </w:r>
    </w:p>
    <w:p>
      <w:pPr>
        <w:spacing w:after="40" w:before="80"/>
        <w:jc w:val="left"/>
      </w:pPr>
      <w:r>
        <w:rPr>
          <w:rFonts w:ascii="Arial" w:cs="Arial" w:eastAsia="Arial" w:hAnsi="Arial"/>
          <w:b w:val="false"/>
          <w:bCs w:val="false"/>
          <w:i w:val="false"/>
          <w:iCs w:val="false"/>
          <w:color w:val="000000"/>
          <w:sz w:val="20"/>
          <w:szCs w:val="20"/>
        </w:rPr>
        <w:t xml:space="preserve">• Annually (calendar reminder set for July 1)</w:t>
      </w:r>
    </w:p>
    <w:p>
      <w:pPr>
        <w:spacing w:after="40" w:before="80"/>
        <w:jc w:val="left"/>
      </w:pPr>
      <w:r>
        <w:rPr>
          <w:rFonts w:ascii="Arial" w:cs="Arial" w:eastAsia="Arial" w:hAnsi="Arial"/>
          <w:b w:val="false"/>
          <w:bCs w:val="false"/>
          <w:i w:val="false"/>
          <w:iCs w:val="false"/>
          <w:color w:val="000000"/>
          <w:sz w:val="20"/>
          <w:szCs w:val="20"/>
        </w:rPr>
        <w:t xml:space="preserve">• Before every new task order bid (verify approved services still cover the TO scope)</w:t>
      </w:r>
    </w:p>
    <w:p>
      <w:pPr>
        <w:spacing w:after="40" w:before="80"/>
        <w:jc w:val="left"/>
      </w:pPr>
      <w:r>
        <w:rPr>
          <w:rFonts w:ascii="Arial" w:cs="Arial" w:eastAsia="Arial" w:hAnsi="Arial"/>
          <w:b w:val="false"/>
          <w:bCs w:val="false"/>
          <w:i w:val="false"/>
          <w:iCs w:val="false"/>
          <w:color w:val="000000"/>
          <w:sz w:val="20"/>
          <w:szCs w:val="20"/>
        </w:rPr>
        <w:t xml:space="preserve">• Whenever a cloud provider changes region availability, data-residency terms, or compliance certifications</w:t>
      </w:r>
    </w:p>
    <w:p>
      <w:pPr>
        <w:spacing w:after="100" w:before="80"/>
        <w:jc w:val="left"/>
      </w:pPr>
      <w:r>
        <w:rPr>
          <w:rFonts w:ascii="Arial" w:cs="Arial" w:eastAsia="Arial" w:hAnsi="Arial"/>
          <w:b w:val="false"/>
          <w:bCs w:val="false"/>
          <w:i w:val="false"/>
          <w:iCs w:val="false"/>
          <w:color w:val="000000"/>
          <w:sz w:val="20"/>
          <w:szCs w:val="20"/>
        </w:rPr>
        <w:t xml:space="preserve">• Whenever a new service is added to the VBX MT delivery stack</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2.  Regulatory Baseline</w:t>
      </w:r>
    </w:p>
    <w:p>
      <w:pPr>
        <w:spacing w:after="100" w:before="80"/>
        <w:jc w:val="left"/>
      </w:pPr>
      <w:r>
        <w:rPr>
          <w:rFonts w:ascii="Arial" w:cs="Arial" w:eastAsia="Arial" w:hAnsi="Arial"/>
          <w:b w:val="false"/>
          <w:bCs w:val="false"/>
          <w:i w:val="false"/>
          <w:iCs w:val="false"/>
          <w:color w:val="000000"/>
          <w:sz w:val="20"/>
          <w:szCs w:val="20"/>
        </w:rPr>
        <w:t xml:space="preserve">The compliance floor. Every architecture element evaluated in Section 6 must be tested against every relevant row here.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Provision</w:t>
            </w:r>
          </w:p>
        </w:tc>
        <w:tc>
          <w:tcPr>
            <w:tcW w:type="dxa" w:w="69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Requirement</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B30000"/>
                <w:sz w:val="18"/>
                <w:szCs w:val="18"/>
              </w:rPr>
              <w:t xml:space="preserve">Exhibit C §15 — Data Location (Moderate)</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Contractor shall not store, process, or transfer any non-public State data outside the United States — including for services or for backup and disaster recovery.</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Exhibit C §15 — Data Ownership</w:t>
            </w:r>
          </w:p>
        </w:tc>
        <w:tc>
          <w:tcPr>
            <w:tcW w:type="dxa" w:w="69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State retains title to all State data and content. VBX gets right to access/use for contract performance only. No data-mining, no re-use, no derivative works without written State authorization.</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Exhibit C §15 — Confidential Data Usage</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Contractor shall observe minimum-necessary standard. PII/PHI protection integral to storage, processing, and transmission.</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Exhibit C §15 — Limitation on Usage</w:t>
            </w:r>
          </w:p>
        </w:tc>
        <w:tc>
          <w:tcPr>
            <w:tcW w:type="dxa" w:w="69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Contractor may not use State data for any purpose other than fulfilling the service. No syndicated data. No subsequent use without express written State authorization.</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B30000"/>
                <w:sz w:val="18"/>
                <w:szCs w:val="18"/>
              </w:rPr>
              <w:t xml:space="preserve">Exhibit C §1e — Remote Access</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MT IT resources shall not be accessed by any person located outside the legal jurisdictional boundary of the United States. No exceptions.</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Exhibit C §9 — Cyber Insurance</w:t>
            </w:r>
          </w:p>
        </w:tc>
        <w:tc>
          <w:tcPr>
            <w:tcW w:type="dxa" w:w="69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$6M aggregate cyber policy covering privacy notification, credit monitoring, forensics, legal fees, regulatory fines/penalties, third-party liability. Applies to VBX and any subcontractor.</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Exhibit A §8 — Insurance</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General insurance requirements including $2M/$2M General Liability, Workers' Comp, Best's A- minimum. State of Montana named as Additional Insured on GL and Cyber.</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MCA 2-6-1501(5)</w:t>
            </w:r>
          </w:p>
        </w:tc>
        <w:tc>
          <w:tcPr>
            <w:tcW w:type="dxa" w:w="69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Personal information trigger: name + SSN | driver's license/state ID | tribal ID | account/credit/debit + access code | medical record info | TIN | IRS IP PIN, when not encrypted.</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MCA 2-6-1503(4)</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Third parties must develop and maintain (a) information security policy safeguarding personal information, and (b) breach notification procedures. Cloud architecture is part of the security policy.</w:t>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3.  Approved Cloud Providers &amp; Regions</w:t>
      </w:r>
    </w:p>
    <w:p>
      <w:pPr>
        <w:spacing w:after="100" w:before="80"/>
        <w:jc w:val="left"/>
      </w:pPr>
      <w:r>
        <w:rPr>
          <w:rFonts w:ascii="Arial" w:cs="Arial" w:eastAsia="Arial" w:hAnsi="Arial"/>
          <w:b w:val="false"/>
          <w:bCs w:val="false"/>
          <w:i w:val="false"/>
          <w:iCs w:val="false"/>
          <w:color w:val="000000"/>
          <w:sz w:val="20"/>
          <w:szCs w:val="20"/>
        </w:rPr>
        <w:t xml:space="preserve">The following cloud providers and regions are the ONLY permissible primary infrastructure for Montana Master AI task order delivery. Any region not listed here is EXCLUDED regardless of the provider's other operational advantages.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00"/>
        <w:gridCol w:w="1600"/>
        <w:gridCol w:w="3400"/>
        <w:gridCol w:w="2960"/>
      </w:tblGrid>
      <w:tr>
        <w:tc>
          <w:tcPr>
            <w:tcW w:type="dxa" w:w="1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Provider</w:t>
            </w:r>
          </w:p>
        </w:tc>
        <w:tc>
          <w:tcPr>
            <w:tcW w:type="dxa" w:w="16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Region Tier</w:t>
            </w:r>
          </w:p>
        </w:tc>
        <w:tc>
          <w:tcPr>
            <w:tcW w:type="dxa" w:w="3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Region Names (US Only)</w:t>
            </w:r>
          </w:p>
        </w:tc>
        <w:tc>
          <w:tcPr>
            <w:tcW w:type="dxa" w:w="29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Compliance Notes</w:t>
            </w:r>
          </w:p>
        </w:tc>
      </w:tr>
      <w:tr>
        <w:tc>
          <w:tcPr>
            <w:tcW w:type="dxa" w:w="1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Amazon Web Services (AWS)</w:t>
            </w:r>
          </w:p>
        </w:tc>
        <w:tc>
          <w:tcPr>
            <w:tcW w:type="dxa" w:w="16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US Commercial</w:t>
            </w:r>
          </w:p>
        </w:tc>
        <w:tc>
          <w:tcPr>
            <w:tcW w:type="dxa" w:w="3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us-east-1 (N. Virginia); us-east-2 (Ohio); us-west-1 (N. California); us-west-2 (Oregon)</w:t>
            </w:r>
          </w:p>
        </w:tc>
        <w:tc>
          <w:tcPr>
            <w:tcW w:type="dxa" w:w="2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Verify current SOC 2 Type II + StateRAMP or state IL parity before use on MT data. Confirm no cross-region replication configured.</w:t>
            </w:r>
          </w:p>
        </w:tc>
      </w:tr>
      <w:tr>
        <w:tc>
          <w:tcPr>
            <w:tcW w:type="dxa" w:w="1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AWS GovCloud</w:t>
            </w:r>
          </w:p>
        </w:tc>
        <w:tc>
          <w:tcPr>
            <w:tcW w:type="dxa" w:w="16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US Government</w:t>
            </w:r>
          </w:p>
        </w:tc>
        <w:tc>
          <w:tcPr>
            <w:tcW w:type="dxa" w:w="3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us-gov-east-1 (Ohio); us-gov-west-1 (Oregon)</w:t>
            </w:r>
          </w:p>
        </w:tc>
        <w:tc>
          <w:tcPr>
            <w:tcW w:type="dxa" w:w="29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Stronger compliance posture (FedRAMP High-authorized). Access restricted to US persons. May be required for future federal task orders; verify per TO whether needed for MT.</w:t>
            </w:r>
          </w:p>
        </w:tc>
      </w:tr>
      <w:tr>
        <w:tc>
          <w:tcPr>
            <w:tcW w:type="dxa" w:w="1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Microsoft Azure</w:t>
            </w:r>
          </w:p>
        </w:tc>
        <w:tc>
          <w:tcPr>
            <w:tcW w:type="dxa" w:w="16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US Commercial</w:t>
            </w:r>
          </w:p>
        </w:tc>
        <w:tc>
          <w:tcPr>
            <w:tcW w:type="dxa" w:w="3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East US; East US 2; Central US; North Central US; South Central US; West US; West US 2; West US 3; West Central US</w:t>
            </w:r>
          </w:p>
        </w:tc>
        <w:tc>
          <w:tcPr>
            <w:tcW w:type="dxa" w:w="2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Verify current SOC 2 + StateRAMP status. Disable geo-redundant storage (GRS) that could replicate cross-border; use LRS or ZRS + US-region-only GRS variants.</w:t>
            </w:r>
          </w:p>
        </w:tc>
      </w:tr>
      <w:tr>
        <w:tc>
          <w:tcPr>
            <w:tcW w:type="dxa" w:w="1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Azure Government</w:t>
            </w:r>
          </w:p>
        </w:tc>
        <w:tc>
          <w:tcPr>
            <w:tcW w:type="dxa" w:w="16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US Government</w:t>
            </w:r>
          </w:p>
        </w:tc>
        <w:tc>
          <w:tcPr>
            <w:tcW w:type="dxa" w:w="3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US Gov Virginia; US Gov Arizona; US Gov Texas</w:t>
            </w:r>
          </w:p>
        </w:tc>
        <w:tc>
          <w:tcPr>
            <w:tcW w:type="dxa" w:w="29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FedRAMP High-authorized. Screened US persons only. Verify current availability per TO scope.</w:t>
            </w:r>
          </w:p>
        </w:tc>
      </w:tr>
      <w:tr>
        <w:tc>
          <w:tcPr>
            <w:tcW w:type="dxa" w:w="1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Google Cloud Platform (GCP)</w:t>
            </w:r>
          </w:p>
        </w:tc>
        <w:tc>
          <w:tcPr>
            <w:tcW w:type="dxa" w:w="16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US Commercial</w:t>
            </w:r>
          </w:p>
        </w:tc>
        <w:tc>
          <w:tcPr>
            <w:tcW w:type="dxa" w:w="3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us-central1 (Iowa); us-east1 (S. Carolina); us-east4 (N. Virginia); us-east5 (Ohio); us-south1 (Dallas); us-west1 (Oregon); us-west2 (LA); us-west3 (Salt Lake City); us-west4 (Las Vegas)</w:t>
            </w:r>
          </w:p>
        </w:tc>
        <w:tc>
          <w:tcPr>
            <w:tcW w:type="dxa" w:w="2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Verify SOC 2 + StateRAMP. Disable auto-geographic-replication. Confirm all managed services (Vertex AI, BigQuery) also US-only.</w:t>
            </w:r>
          </w:p>
        </w:tc>
      </w:tr>
      <w:tr>
        <w:tc>
          <w:tcPr>
            <w:tcW w:type="dxa" w:w="1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GCP Assured Workloads</w:t>
            </w:r>
          </w:p>
        </w:tc>
        <w:tc>
          <w:tcPr>
            <w:tcW w:type="dxa" w:w="16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US Government</w:t>
            </w:r>
          </w:p>
        </w:tc>
        <w:tc>
          <w:tcPr>
            <w:tcW w:type="dxa" w:w="3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US Regions + Assured Workloads control policies</w:t>
            </w:r>
          </w:p>
        </w:tc>
        <w:tc>
          <w:tcPr>
            <w:tcW w:type="dxa" w:w="29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Verify current FedRAMP Moderate/High status. Assured Workloads enforces personnel + region controls.</w:t>
            </w:r>
          </w:p>
        </w:tc>
      </w:tr>
    </w:tbl>
    <w:p>
      <w:pPr>
        <w:pStyle w:val="Heading2"/>
        <w:spacing w:after="100" w:before="220"/>
      </w:pPr>
      <w:r>
        <w:rPr>
          <w:rFonts w:ascii="Arial" w:cs="Arial" w:eastAsia="Arial" w:hAnsi="Arial"/>
          <w:b/>
          <w:bCs/>
          <w:color w:val="232D5A"/>
          <w:sz w:val="24"/>
          <w:szCs w:val="24"/>
        </w:rPr>
        <w:t xml:space="preserve">3.1  US Commercial vs. US Government Region Selection</w:t>
      </w:r>
    </w:p>
    <w:p>
      <w:pPr>
        <w:spacing w:after="40" w:before="80"/>
        <w:jc w:val="left"/>
      </w:pPr>
      <w:r>
        <w:rPr>
          <w:rFonts w:ascii="Arial" w:cs="Arial" w:eastAsia="Arial" w:hAnsi="Arial"/>
          <w:b w:val="false"/>
          <w:bCs w:val="false"/>
          <w:i w:val="false"/>
          <w:iCs w:val="false"/>
          <w:color w:val="000000"/>
          <w:sz w:val="20"/>
          <w:szCs w:val="20"/>
        </w:rPr>
        <w:t xml:space="preserve">For most Montana state-level task orders at FIPS 199 Moderate data classification, US Commercial regions with current SOC 2 Type II attestation and StateRAMP or state IL parity ARE acceptable. GovCloud/Azure Government/Assured Workloads become mandatory when:</w:t>
      </w:r>
    </w:p>
    <w:p>
      <w:pPr>
        <w:spacing w:after="40" w:before="80"/>
        <w:jc w:val="left"/>
      </w:pPr>
      <w:r>
        <w:rPr>
          <w:rFonts w:ascii="Arial" w:cs="Arial" w:eastAsia="Arial" w:hAnsi="Arial"/>
          <w:b w:val="false"/>
          <w:bCs w:val="false"/>
          <w:i w:val="false"/>
          <w:iCs w:val="false"/>
          <w:color w:val="000000"/>
          <w:sz w:val="20"/>
          <w:szCs w:val="20"/>
        </w:rPr>
        <w:t xml:space="preserve">• Task order handles federal Controlled Unclassified Information (CUI) or ITAR data</w:t>
      </w:r>
    </w:p>
    <w:p>
      <w:pPr>
        <w:spacing w:after="40" w:before="80"/>
        <w:jc w:val="left"/>
      </w:pPr>
      <w:r>
        <w:rPr>
          <w:rFonts w:ascii="Arial" w:cs="Arial" w:eastAsia="Arial" w:hAnsi="Arial"/>
          <w:b w:val="false"/>
          <w:bCs w:val="false"/>
          <w:i w:val="false"/>
          <w:iCs w:val="false"/>
          <w:color w:val="000000"/>
          <w:sz w:val="20"/>
          <w:szCs w:val="20"/>
        </w:rPr>
        <w:t xml:space="preserve">• Task order requires FedRAMP Moderate or High attestation as a delivery-stack requirement</w:t>
      </w:r>
    </w:p>
    <w:p>
      <w:pPr>
        <w:spacing w:after="40" w:before="80"/>
        <w:jc w:val="left"/>
      </w:pPr>
      <w:r>
        <w:rPr>
          <w:rFonts w:ascii="Arial" w:cs="Arial" w:eastAsia="Arial" w:hAnsi="Arial"/>
          <w:b w:val="false"/>
          <w:bCs w:val="false"/>
          <w:i w:val="false"/>
          <w:iCs w:val="false"/>
          <w:color w:val="000000"/>
          <w:sz w:val="20"/>
          <w:szCs w:val="20"/>
        </w:rPr>
        <w:t xml:space="preserve">• Task order handles a data classification the State elevates beyond Moderate</w:t>
      </w:r>
    </w:p>
    <w:p>
      <w:pPr>
        <w:spacing w:after="100" w:before="80"/>
        <w:jc w:val="left"/>
      </w:pPr>
      <w:r>
        <w:rPr>
          <w:rFonts w:ascii="Arial" w:cs="Arial" w:eastAsia="Arial" w:hAnsi="Arial"/>
          <w:b w:val="false"/>
          <w:bCs w:val="false"/>
          <w:i w:val="false"/>
          <w:iCs w:val="false"/>
          <w:color w:val="000000"/>
          <w:sz w:val="20"/>
          <w:szCs w:val="20"/>
        </w:rPr>
        <w:t xml:space="preserve">• Ordering agency contractually requires GovCloud (some agencies impose this by policy)</w:t>
      </w:r>
    </w:p>
    <w:p>
      <w:pPr>
        <w:spacing w:after="100" w:before="80"/>
        <w:jc w:val="left"/>
      </w:pPr>
      <w:r>
        <w:rPr>
          <w:rFonts w:ascii="Arial" w:cs="Arial" w:eastAsia="Arial" w:hAnsi="Arial"/>
          <w:b w:val="false"/>
          <w:bCs w:val="false"/>
          <w:i/>
          <w:iCs/>
          <w:color w:val="595959"/>
          <w:sz w:val="20"/>
          <w:szCs w:val="20"/>
        </w:rPr>
        <w:t xml:space="preserve">Default posture for MT AI task orders: US Commercial with StateRAMP-compliant regional configuration. Elevated posture (GovCloud) requires explicit TO justification and cost impact analysis.</w:t>
      </w:r>
    </w:p>
    <w:p>
      <w:pPr>
        <w:pStyle w:val="Heading2"/>
        <w:spacing w:after="100" w:before="220"/>
      </w:pPr>
      <w:r>
        <w:rPr>
          <w:rFonts w:ascii="Arial" w:cs="Arial" w:eastAsia="Arial" w:hAnsi="Arial"/>
          <w:b/>
          <w:bCs/>
          <w:color w:val="232D5A"/>
          <w:sz w:val="24"/>
          <w:szCs w:val="24"/>
        </w:rPr>
        <w:t xml:space="preserve">3.2  Regions Explicitly PROHIBITED</w:t>
      </w:r>
    </w:p>
    <w:p>
      <w:pPr>
        <w:spacing w:after="100" w:before="80"/>
        <w:jc w:val="left"/>
      </w:pPr>
      <w:r>
        <w:rPr>
          <w:rFonts w:ascii="Arial" w:cs="Arial" w:eastAsia="Arial" w:hAnsi="Arial"/>
          <w:b w:val="false"/>
          <w:bCs w:val="false"/>
          <w:i w:val="false"/>
          <w:iCs w:val="false"/>
          <w:color w:val="000000"/>
          <w:sz w:val="20"/>
          <w:szCs w:val="20"/>
        </w:rPr>
        <w:t xml:space="preserve">Every non-US region is prohibited. This includes but is not limited to: Canada Central, Canada East, South America (São Paulo), all EU regions, all UK regions, all Middle East regions, all Africa regions, all Asia-Pacific regions (including Japan, Korea, Singapore, India, Australia), and all China regions.</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4.  Data Classification &amp; Handling Matrix</w:t>
      </w:r>
    </w:p>
    <w:p>
      <w:pPr>
        <w:spacing w:after="100" w:before="80"/>
        <w:jc w:val="left"/>
      </w:pPr>
      <w:r>
        <w:rPr>
          <w:rFonts w:ascii="Arial" w:cs="Arial" w:eastAsia="Arial" w:hAnsi="Arial"/>
          <w:b w:val="false"/>
          <w:bCs w:val="false"/>
          <w:i w:val="false"/>
          <w:iCs w:val="false"/>
          <w:color w:val="000000"/>
          <w:sz w:val="20"/>
          <w:szCs w:val="20"/>
        </w:rPr>
        <w:t xml:space="preserve">Every architecture element handling State-supplied data must satisfy every row of the following matrix. "Requirement" column is contractual/statutory floor. "VBX Implementation" column documents how VBX implements the requirement — must be reviewed per TO for delivery-stack applicability.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3800"/>
        <w:gridCol w:w="3160"/>
      </w:tblGrid>
      <w:tr>
        <w:tc>
          <w:tcPr>
            <w:tcW w:type="dxa" w:w="2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Data Attribute</w:t>
            </w:r>
          </w:p>
        </w:tc>
        <w:tc>
          <w:tcPr>
            <w:tcW w:type="dxa" w:w="38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Requirement</w:t>
            </w:r>
          </w:p>
        </w:tc>
        <w:tc>
          <w:tcPr>
            <w:tcW w:type="dxa" w:w="31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VBX Implementation</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Data Classification</w:t>
            </w:r>
          </w:p>
        </w:tc>
        <w:tc>
          <w:tcPr>
            <w:tcW w:type="dxa" w:w="38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FIPS 199 MODERATE per Exhibit C §15 checkbox. Non-public data governed by MT specific disclosure laws.</w:t>
            </w:r>
          </w:p>
        </w:tc>
        <w:tc>
          <w:tcPr>
            <w:tcW w:type="dxa" w:w="3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Every architecture designed to Moderate baseline (NIST 800-53 Moderate control set).</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Storage Location</w:t>
            </w:r>
          </w:p>
        </w:tc>
        <w:tc>
          <w:tcPr>
            <w:tcW w:type="dxa" w:w="38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US-only, no exceptions. Includes primary + backup + DR + snapshots.</w:t>
            </w:r>
          </w:p>
        </w:tc>
        <w:tc>
          <w:tcPr>
            <w:tcW w:type="dxa" w:w="31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All resources tagged with mt-datacenter=us-only. Region locks enforced at IAM/policy level.</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Processing Location</w:t>
            </w:r>
          </w:p>
        </w:tc>
        <w:tc>
          <w:tcPr>
            <w:tcW w:type="dxa" w:w="38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US-only. Includes compute, transformation, model inference, ETL.</w:t>
            </w:r>
          </w:p>
        </w:tc>
        <w:tc>
          <w:tcPr>
            <w:tcW w:type="dxa" w:w="3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Compute resources US-region-locked. No serverless functions with global runtime pools.</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Transfer Location</w:t>
            </w:r>
          </w:p>
        </w:tc>
        <w:tc>
          <w:tcPr>
            <w:tcW w:type="dxa" w:w="38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US-only. Includes API calls, network egress, CDN cache.</w:t>
            </w:r>
          </w:p>
        </w:tc>
        <w:tc>
          <w:tcPr>
            <w:tcW w:type="dxa" w:w="31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VPC endpoints for AWS services. Private Link for Azure. CDN configured US-edge-only or disabled.</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Encryption at Rest</w:t>
            </w:r>
          </w:p>
        </w:tc>
        <w:tc>
          <w:tcPr>
            <w:tcW w:type="dxa" w:w="38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AES-256 or equivalent. FIPS 140-2 or 140-3 validated modules preferred. Customer-managed keys (CMK).</w:t>
            </w:r>
          </w:p>
        </w:tc>
        <w:tc>
          <w:tcPr>
            <w:tcW w:type="dxa" w:w="3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AWS KMS-CMK / Azure Key Vault CMK / GCP KMS CMK on all storage classes. Key rotation ≤ 12 months.</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Encryption in Transit</w:t>
            </w:r>
          </w:p>
        </w:tc>
        <w:tc>
          <w:tcPr>
            <w:tcW w:type="dxa" w:w="38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TLS 1.2 minimum. TLS 1.3 preferred. Certificate pinning for internal service calls.</w:t>
            </w:r>
          </w:p>
        </w:tc>
        <w:tc>
          <w:tcPr>
            <w:tcW w:type="dxa" w:w="31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TLS 1.3 default; TLS 1.2 fallback with modern ciphers only. mTLS between internal services.</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Data Ownership</w:t>
            </w:r>
          </w:p>
        </w:tc>
        <w:tc>
          <w:tcPr>
            <w:tcW w:type="dxa" w:w="38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State retains title. VBX has right-to-use only for contract performance.</w:t>
            </w:r>
          </w:p>
        </w:tc>
        <w:tc>
          <w:tcPr>
            <w:tcW w:type="dxa" w:w="3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No copying of State data to VBX-owned repositories outside the TO tenant. Deletion on TO close.</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Data Access</w:t>
            </w:r>
          </w:p>
        </w:tc>
        <w:tc>
          <w:tcPr>
            <w:tcW w:type="dxa" w:w="38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Only authorized personnel per US-Only Delivery Roster. Minimum-necessary access.</w:t>
            </w:r>
          </w:p>
        </w:tc>
        <w:tc>
          <w:tcPr>
            <w:tcW w:type="dxa" w:w="31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IAM role-based; JIT elevation for admin actions; MFA-required for all human access.</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Audit Logging</w:t>
            </w:r>
          </w:p>
        </w:tc>
        <w:tc>
          <w:tcPr>
            <w:tcW w:type="dxa" w:w="38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All access logged. Logs retained per Exhibit A §3.2 retention (6 years post-termination).</w:t>
            </w:r>
          </w:p>
        </w:tc>
        <w:tc>
          <w:tcPr>
            <w:tcW w:type="dxa" w:w="3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CloudTrail / Azure Monitor / GCP Audit Logs enabled. Logs stored in US-region, immutable, WORM-protected.</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Deletion / Return</w:t>
            </w:r>
          </w:p>
        </w:tc>
        <w:tc>
          <w:tcPr>
            <w:tcW w:type="dxa" w:w="38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State data returned or destroyed on TO completion or termination.</w:t>
            </w:r>
          </w:p>
        </w:tc>
        <w:tc>
          <w:tcPr>
            <w:tcW w:type="dxa" w:w="31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Documented data disposal procedure. Certificate of Destruction issued to State on TO close.</w:t>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5.  Architecture Constraints Checklist</w:t>
      </w:r>
    </w:p>
    <w:p>
      <w:pPr>
        <w:spacing w:after="100" w:before="80"/>
        <w:jc w:val="left"/>
      </w:pPr>
      <w:r>
        <w:rPr>
          <w:rFonts w:ascii="Arial" w:cs="Arial" w:eastAsia="Arial" w:hAnsi="Arial"/>
          <w:b w:val="false"/>
          <w:bCs w:val="false"/>
          <w:i w:val="false"/>
          <w:iCs w:val="false"/>
          <w:color w:val="000000"/>
          <w:sz w:val="20"/>
          <w:szCs w:val="20"/>
        </w:rPr>
        <w:t xml:space="preserve">Twelve constraints applied to every task order architecture. Populate the Status column PER TO before delivery begins. Any FAIL must be remediated before State data is loaded.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500"/>
        <w:gridCol w:w="3200"/>
        <w:gridCol w:w="4460"/>
        <w:gridCol w:w="1200"/>
      </w:tblGrid>
      <w:tr>
        <w:tc>
          <w:tcPr>
            <w:tcW w:type="dxa" w:w="5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w:t>
            </w:r>
          </w:p>
        </w:tc>
        <w:tc>
          <w:tcPr>
            <w:tcW w:type="dxa" w:w="3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Constraint</w:t>
            </w:r>
          </w:p>
        </w:tc>
        <w:tc>
          <w:tcPr>
            <w:tcW w:type="dxa" w:w="44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Verification Method</w:t>
            </w:r>
          </w:p>
        </w:tc>
        <w:tc>
          <w:tcPr>
            <w:tcW w:type="dxa" w:w="1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Status</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Every managed service resource is deployed in a US-only region</w:t>
            </w:r>
          </w:p>
        </w:tc>
        <w:tc>
          <w:tcPr>
            <w:tcW w:type="dxa" w:w="44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Cloud provider console region audit; IaC (Terraform/CloudFormation/Bicep) code review; region-restriction service control policies (SCPs) or Azure Policies enforced at organization level</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2</w:t>
            </w:r>
          </w:p>
        </w:tc>
        <w:tc>
          <w:tcPr>
            <w:tcW w:type="dxa" w:w="3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Cross-region replication (if any) is US-to-US only</w:t>
            </w:r>
          </w:p>
        </w:tc>
        <w:tc>
          <w:tcPr>
            <w:tcW w:type="dxa" w:w="44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S3 replication config review; Azure GRS/RA-GRS configuration audit; GCP multi-region storage class audit</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Backup and DR destinations are US-only</w:t>
            </w:r>
          </w:p>
        </w:tc>
        <w:tc>
          <w:tcPr>
            <w:tcW w:type="dxa" w:w="44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Backup policy inspection; snapshot region audit; DR runbook regional review; verify no auto-tiering to global storage classes</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4</w:t>
            </w:r>
          </w:p>
        </w:tc>
        <w:tc>
          <w:tcPr>
            <w:tcW w:type="dxa" w:w="3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CDN edge locations restricted to US or CDN disabled</w:t>
            </w:r>
          </w:p>
        </w:tc>
        <w:tc>
          <w:tcPr>
            <w:tcW w:type="dxa" w:w="44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CloudFront distribution behavior audit (price class US-only); Azure CDN endpoint audit; verify no default global edge behavior</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5</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Serverless / managed runtime pools are US-region-locked</w:t>
            </w:r>
          </w:p>
        </w:tc>
        <w:tc>
          <w:tcPr>
            <w:tcW w:type="dxa" w:w="44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Lambda/Functions/Cloud Run region configuration audit; verify no cross-region invocation patterns; edge-runtime services (Lambda@Edge, CloudFront Functions) disabled or US-only</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6</w:t>
            </w:r>
          </w:p>
        </w:tc>
        <w:tc>
          <w:tcPr>
            <w:tcW w:type="dxa" w:w="3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Data-in-transit uses TLS 1.2 minimum with modern ciphers</w:t>
            </w:r>
          </w:p>
        </w:tc>
        <w:tc>
          <w:tcPr>
            <w:tcW w:type="dxa" w:w="44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Load balancer / API gateway TLS policy audit; internal service mesh mTLS enforcement</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7</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Data-at-rest uses AES-256 with customer-managed keys</w:t>
            </w:r>
          </w:p>
        </w:tc>
        <w:tc>
          <w:tcPr>
            <w:tcW w:type="dxa" w:w="44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KMS/Key Vault/GCP KMS configuration audit; verify all storage services (S3, EBS, RDS, DynamoDB, Azure Storage, Cosmos DB, Cloud Storage) reference CMKs</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8</w:t>
            </w:r>
          </w:p>
        </w:tc>
        <w:tc>
          <w:tcPr>
            <w:tcW w:type="dxa" w:w="3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Admin access is US-VPN-only</w:t>
            </w:r>
          </w:p>
        </w:tc>
        <w:tc>
          <w:tcPr>
            <w:tcW w:type="dxa" w:w="44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VPN endpoint region audit; conditional access policies (Azure AD/AWS SSO) requiring US IP range; no bastion hosts outside US regions</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9</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Audit logs stored in US-region, immutable</w:t>
            </w:r>
          </w:p>
        </w:tc>
        <w:tc>
          <w:tcPr>
            <w:tcW w:type="dxa" w:w="44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CloudTrail S3 bucket region + Object Lock; Azure Storage immutable blob policies; GCP Bucket Lock</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10</w:t>
            </w:r>
          </w:p>
        </w:tc>
        <w:tc>
          <w:tcPr>
            <w:tcW w:type="dxa" w:w="3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Third-party SaaS/API dependencies audited for US-only posture</w:t>
            </w:r>
          </w:p>
        </w:tc>
        <w:tc>
          <w:tcPr>
            <w:tcW w:type="dxa" w:w="44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Vendor DPA review; cross-reference AI Vendor Stack Audit workbook; document any SaaS with non-US processing</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11</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Container images sourced from US-region registries</w:t>
            </w:r>
          </w:p>
        </w:tc>
        <w:tc>
          <w:tcPr>
            <w:tcW w:type="dxa" w:w="44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ECR/ACR/GCR region audit; verify no auto-pull from Docker Hub or upstream registries during runtime</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12</w:t>
            </w:r>
          </w:p>
        </w:tc>
        <w:tc>
          <w:tcPr>
            <w:tcW w:type="dxa" w:w="3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DNS resolution and health checks US-region</w:t>
            </w:r>
          </w:p>
        </w:tc>
        <w:tc>
          <w:tcPr>
            <w:tcW w:type="dxa" w:w="44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Route 53 / Azure DNS / Cloud DNS configuration; health check origin regions US-only</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6.  Cloud Service Inventory</w:t>
      </w:r>
    </w:p>
    <w:p>
      <w:pPr>
        <w:spacing w:after="100" w:before="80"/>
        <w:jc w:val="left"/>
      </w:pPr>
      <w:r>
        <w:rPr>
          <w:rFonts w:ascii="Arial" w:cs="Arial" w:eastAsia="Arial" w:hAnsi="Arial"/>
          <w:b w:val="false"/>
          <w:bCs w:val="false"/>
          <w:i w:val="false"/>
          <w:iCs w:val="false"/>
          <w:color w:val="000000"/>
          <w:sz w:val="20"/>
          <w:szCs w:val="20"/>
        </w:rPr>
        <w:t xml:space="preserve">Enumerate every cloud service used or expected to be used for MT task order delivery. Populate per TO or maintain as a rolling master list refreshed per TO scope.</w:t>
      </w:r>
    </w:p>
    <w:p>
      <w:pPr>
        <w:spacing w:after="80" w:before="160"/>
      </w:pPr>
      <w:r>
        <w:rPr>
          <w:rFonts w:ascii="Arial" w:cs="Arial" w:eastAsia="Arial" w:hAnsi="Arial"/>
          <w:b/>
          <w:bCs/>
          <w:color w:val="2EA891"/>
          <w:sz w:val="22"/>
          <w:szCs w:val="22"/>
        </w:rPr>
        <w:t xml:space="preserve">Categories to Cover</w:t>
      </w:r>
    </w:p>
    <w:p>
      <w:pPr>
        <w:spacing w:after="30" w:before="80"/>
        <w:jc w:val="left"/>
      </w:pPr>
      <w:r>
        <w:rPr>
          <w:rFonts w:ascii="Arial" w:cs="Arial" w:eastAsia="Arial" w:hAnsi="Arial"/>
          <w:b w:val="false"/>
          <w:bCs w:val="false"/>
          <w:i w:val="false"/>
          <w:iCs w:val="false"/>
          <w:color w:val="000000"/>
          <w:sz w:val="20"/>
          <w:szCs w:val="20"/>
        </w:rPr>
        <w:t xml:space="preserve">• Storage: object (S3, Azure Blob, GCS); block (EBS, Azure Disk, Persistent Disk); file (EFS, Azure Files, Filestore)</w:t>
      </w:r>
    </w:p>
    <w:p>
      <w:pPr>
        <w:spacing w:after="30" w:before="80"/>
        <w:jc w:val="left"/>
      </w:pPr>
      <w:r>
        <w:rPr>
          <w:rFonts w:ascii="Arial" w:cs="Arial" w:eastAsia="Arial" w:hAnsi="Arial"/>
          <w:b w:val="false"/>
          <w:bCs w:val="false"/>
          <w:i w:val="false"/>
          <w:iCs w:val="false"/>
          <w:color w:val="000000"/>
          <w:sz w:val="20"/>
          <w:szCs w:val="20"/>
        </w:rPr>
        <w:t xml:space="preserve">• Databases: relational (RDS, Azure SQL, Cloud SQL); NoSQL (DynamoDB, Cosmos DB, Firestore, Bigtable); analytics (Redshift, Synapse, BigQuery)</w:t>
      </w:r>
    </w:p>
    <w:p>
      <w:pPr>
        <w:spacing w:after="30" w:before="80"/>
        <w:jc w:val="left"/>
      </w:pPr>
      <w:r>
        <w:rPr>
          <w:rFonts w:ascii="Arial" w:cs="Arial" w:eastAsia="Arial" w:hAnsi="Arial"/>
          <w:b w:val="false"/>
          <w:bCs w:val="false"/>
          <w:i w:val="false"/>
          <w:iCs w:val="false"/>
          <w:color w:val="000000"/>
          <w:sz w:val="20"/>
          <w:szCs w:val="20"/>
        </w:rPr>
        <w:t xml:space="preserve">• Compute: VMs (EC2, VM, Compute Engine); containers (ECS, AKS, GKE); serverless (Lambda, Functions, Cloud Run)</w:t>
      </w:r>
    </w:p>
    <w:p>
      <w:pPr>
        <w:spacing w:after="30" w:before="80"/>
        <w:jc w:val="left"/>
      </w:pPr>
      <w:r>
        <w:rPr>
          <w:rFonts w:ascii="Arial" w:cs="Arial" w:eastAsia="Arial" w:hAnsi="Arial"/>
          <w:b w:val="false"/>
          <w:bCs w:val="false"/>
          <w:i w:val="false"/>
          <w:iCs w:val="false"/>
          <w:color w:val="000000"/>
          <w:sz w:val="20"/>
          <w:szCs w:val="20"/>
        </w:rPr>
        <w:t xml:space="preserve">• Networking: VPC, DNS, Load Balancers, CDN, API Gateway, VPN, Direct Connect / ExpressRoute</w:t>
      </w:r>
    </w:p>
    <w:p>
      <w:pPr>
        <w:spacing w:after="30" w:before="80"/>
        <w:jc w:val="left"/>
      </w:pPr>
      <w:r>
        <w:rPr>
          <w:rFonts w:ascii="Arial" w:cs="Arial" w:eastAsia="Arial" w:hAnsi="Arial"/>
          <w:b w:val="false"/>
          <w:bCs w:val="false"/>
          <w:i w:val="false"/>
          <w:iCs w:val="false"/>
          <w:color w:val="000000"/>
          <w:sz w:val="20"/>
          <w:szCs w:val="20"/>
        </w:rPr>
        <w:t xml:space="preserve">• AI/ML: SageMaker, Azure ML, Vertex AI, Bedrock, Azure OpenAI, model registries</w:t>
      </w:r>
    </w:p>
    <w:p>
      <w:pPr>
        <w:spacing w:after="30" w:before="80"/>
        <w:jc w:val="left"/>
      </w:pPr>
      <w:r>
        <w:rPr>
          <w:rFonts w:ascii="Arial" w:cs="Arial" w:eastAsia="Arial" w:hAnsi="Arial"/>
          <w:b w:val="false"/>
          <w:bCs w:val="false"/>
          <w:i w:val="false"/>
          <w:iCs w:val="false"/>
          <w:color w:val="000000"/>
          <w:sz w:val="20"/>
          <w:szCs w:val="20"/>
        </w:rPr>
        <w:t xml:space="preserve">• Integration: Event bridges/hubs, message queues (SQS, Service Bus, Pub/Sub), workflow orchestration (Step Functions, Logic Apps, Workflows)</w:t>
      </w:r>
    </w:p>
    <w:p>
      <w:pPr>
        <w:spacing w:after="30" w:before="80"/>
        <w:jc w:val="left"/>
      </w:pPr>
      <w:r>
        <w:rPr>
          <w:rFonts w:ascii="Arial" w:cs="Arial" w:eastAsia="Arial" w:hAnsi="Arial"/>
          <w:b w:val="false"/>
          <w:bCs w:val="false"/>
          <w:i w:val="false"/>
          <w:iCs w:val="false"/>
          <w:color w:val="000000"/>
          <w:sz w:val="20"/>
          <w:szCs w:val="20"/>
        </w:rPr>
        <w:t xml:space="preserve">• Observability: CloudWatch, Azure Monitor, Cloud Logging, log aggregation, SIEM feeds</w:t>
      </w:r>
    </w:p>
    <w:p>
      <w:pPr>
        <w:spacing w:after="100" w:before="80"/>
        <w:jc w:val="left"/>
      </w:pPr>
      <w:r>
        <w:rPr>
          <w:rFonts w:ascii="Arial" w:cs="Arial" w:eastAsia="Arial" w:hAnsi="Arial"/>
          <w:b w:val="false"/>
          <w:bCs w:val="false"/>
          <w:i w:val="false"/>
          <w:iCs w:val="false"/>
          <w:color w:val="000000"/>
          <w:sz w:val="20"/>
          <w:szCs w:val="20"/>
        </w:rPr>
        <w:t xml:space="preserve">• Security: Secrets Manager, Key Vault, Secret Manager, WAF, GuardDuty, Defender, Security Command Center</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1200"/>
        <w:gridCol w:w="2200"/>
        <w:gridCol w:w="1400"/>
        <w:gridCol w:w="700"/>
        <w:gridCol w:w="900"/>
        <w:gridCol w:w="1160"/>
      </w:tblGrid>
      <w:tr>
        <w:tc>
          <w:tcPr>
            <w:tcW w:type="dxa" w:w="18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Service</w:t>
            </w:r>
          </w:p>
        </w:tc>
        <w:tc>
          <w:tcPr>
            <w:tcW w:type="dxa" w:w="1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Provider</w:t>
            </w:r>
          </w:p>
        </w:tc>
        <w:tc>
          <w:tcPr>
            <w:tcW w:type="dxa" w:w="2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Purpose</w:t>
            </w:r>
          </w:p>
        </w:tc>
        <w:tc>
          <w:tcPr>
            <w:tcW w:type="dxa" w:w="1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Regions</w:t>
            </w:r>
          </w:p>
        </w:tc>
        <w:tc>
          <w:tcPr>
            <w:tcW w:type="dxa" w:w="7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CMK?</w:t>
            </w:r>
          </w:p>
        </w:tc>
        <w:tc>
          <w:tcPr>
            <w:tcW w:type="dxa" w:w="9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Verdict</w:t>
            </w:r>
          </w:p>
        </w:tc>
        <w:tc>
          <w:tcPr>
            <w:tcW w:type="dxa" w:w="11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Notes</w:t>
            </w:r>
          </w:p>
        </w:tc>
      </w:tr>
      <w:tr>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 name (e.g., S3, Cosmos DB)</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AWS/Azure/GCP</w:t>
            </w:r>
          </w:p>
        </w:tc>
        <w:tc>
          <w:tcPr>
            <w:tcW w:type="dxa" w:w="2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 it stores/processes</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Region(s) used</w:t>
            </w:r>
          </w:p>
        </w:tc>
        <w:tc>
          <w:tcPr>
            <w:tcW w:type="dxa" w:w="7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Y/N</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Notes</w:t>
            </w:r>
          </w:p>
        </w:tc>
      </w:tr>
      <w:tr>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 name (e.g., S3, Cosmos DB)</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AWS/Azure/GCP</w:t>
            </w:r>
          </w:p>
        </w:tc>
        <w:tc>
          <w:tcPr>
            <w:tcW w:type="dxa" w:w="2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 it stores/processes</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Region(s) used</w:t>
            </w:r>
          </w:p>
        </w:tc>
        <w:tc>
          <w:tcPr>
            <w:tcW w:type="dxa" w:w="7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Y/N</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Notes</w:t>
            </w:r>
          </w:p>
        </w:tc>
      </w:tr>
      <w:tr>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 name (e.g., S3, Cosmos DB)</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AWS/Azure/GCP</w:t>
            </w:r>
          </w:p>
        </w:tc>
        <w:tc>
          <w:tcPr>
            <w:tcW w:type="dxa" w:w="2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 it stores/processes</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Region(s) used</w:t>
            </w:r>
          </w:p>
        </w:tc>
        <w:tc>
          <w:tcPr>
            <w:tcW w:type="dxa" w:w="7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Y/N</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Notes</w:t>
            </w:r>
          </w:p>
        </w:tc>
      </w:tr>
      <w:tr>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 name (e.g., S3, Cosmos DB)</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AWS/Azure/GCP</w:t>
            </w:r>
          </w:p>
        </w:tc>
        <w:tc>
          <w:tcPr>
            <w:tcW w:type="dxa" w:w="2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 it stores/processes</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Region(s) used</w:t>
            </w:r>
          </w:p>
        </w:tc>
        <w:tc>
          <w:tcPr>
            <w:tcW w:type="dxa" w:w="7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Y/N</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Notes</w:t>
            </w:r>
          </w:p>
        </w:tc>
      </w:tr>
      <w:tr>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 name (e.g., S3, Cosmos DB)</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AWS/Azure/GCP</w:t>
            </w:r>
          </w:p>
        </w:tc>
        <w:tc>
          <w:tcPr>
            <w:tcW w:type="dxa" w:w="2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 it stores/processes</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Region(s) used</w:t>
            </w:r>
          </w:p>
        </w:tc>
        <w:tc>
          <w:tcPr>
            <w:tcW w:type="dxa" w:w="7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Y/N</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Notes</w:t>
            </w:r>
          </w:p>
        </w:tc>
      </w:tr>
      <w:tr>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 name (e.g., S3, Cosmos DB)</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AWS/Azure/GCP</w:t>
            </w:r>
          </w:p>
        </w:tc>
        <w:tc>
          <w:tcPr>
            <w:tcW w:type="dxa" w:w="2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 it stores/processes</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Region(s) used</w:t>
            </w:r>
          </w:p>
        </w:tc>
        <w:tc>
          <w:tcPr>
            <w:tcW w:type="dxa" w:w="7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Y/N</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Notes</w:t>
            </w:r>
          </w:p>
        </w:tc>
      </w:tr>
      <w:tr>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 name (e.g., S3, Cosmos DB)</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AWS/Azure/GCP</w:t>
            </w:r>
          </w:p>
        </w:tc>
        <w:tc>
          <w:tcPr>
            <w:tcW w:type="dxa" w:w="2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 it stores/processes</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Region(s) used</w:t>
            </w:r>
          </w:p>
        </w:tc>
        <w:tc>
          <w:tcPr>
            <w:tcW w:type="dxa" w:w="7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Y/N</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Notes</w:t>
            </w:r>
          </w:p>
        </w:tc>
      </w:tr>
      <w:tr>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 name (e.g., S3, Cosmos DB)</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AWS/Azure/GCP</w:t>
            </w:r>
          </w:p>
        </w:tc>
        <w:tc>
          <w:tcPr>
            <w:tcW w:type="dxa" w:w="2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 it stores/processes</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Region(s) used</w:t>
            </w:r>
          </w:p>
        </w:tc>
        <w:tc>
          <w:tcPr>
            <w:tcW w:type="dxa" w:w="7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Y/N</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Notes</w:t>
            </w:r>
          </w:p>
        </w:tc>
      </w:tr>
      <w:tr>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 name (e.g., S3, Cosmos DB)</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AWS/Azure/GCP</w:t>
            </w:r>
          </w:p>
        </w:tc>
        <w:tc>
          <w:tcPr>
            <w:tcW w:type="dxa" w:w="2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 it stores/processes</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Region(s) used</w:t>
            </w:r>
          </w:p>
        </w:tc>
        <w:tc>
          <w:tcPr>
            <w:tcW w:type="dxa" w:w="7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Y/N</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Notes</w:t>
            </w:r>
          </w:p>
        </w:tc>
      </w:tr>
      <w:tr>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 name (e.g., S3, Cosmos DB)</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AWS/Azure/GCP</w:t>
            </w:r>
          </w:p>
        </w:tc>
        <w:tc>
          <w:tcPr>
            <w:tcW w:type="dxa" w:w="2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 it stores/processes</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Region(s) used</w:t>
            </w:r>
          </w:p>
        </w:tc>
        <w:tc>
          <w:tcPr>
            <w:tcW w:type="dxa" w:w="7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Y/N</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Notes</w:t>
            </w:r>
          </w:p>
        </w:tc>
      </w:tr>
      <w:tr>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 name (e.g., S3, Cosmos DB)</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AWS/Azure/GCP</w:t>
            </w:r>
          </w:p>
        </w:tc>
        <w:tc>
          <w:tcPr>
            <w:tcW w:type="dxa" w:w="2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 it stores/processes</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Region(s) used</w:t>
            </w:r>
          </w:p>
        </w:tc>
        <w:tc>
          <w:tcPr>
            <w:tcW w:type="dxa" w:w="7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Y/N</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Notes</w:t>
            </w:r>
          </w:p>
        </w:tc>
      </w:tr>
      <w:tr>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 name (e.g., S3, Cosmos DB)</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AWS/Azure/GCP</w:t>
            </w:r>
          </w:p>
        </w:tc>
        <w:tc>
          <w:tcPr>
            <w:tcW w:type="dxa" w:w="2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 it stores/processes</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Region(s) used</w:t>
            </w:r>
          </w:p>
        </w:tc>
        <w:tc>
          <w:tcPr>
            <w:tcW w:type="dxa" w:w="7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Y/N</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PASS/FAIL</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Notes</w:t>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7.  Non-Compliance Remediation Log</w:t>
      </w:r>
    </w:p>
    <w:p>
      <w:pPr>
        <w:spacing w:after="100" w:before="80"/>
        <w:jc w:val="left"/>
      </w:pPr>
      <w:r>
        <w:rPr>
          <w:rFonts w:ascii="Arial" w:cs="Arial" w:eastAsia="Arial" w:hAnsi="Arial"/>
          <w:b w:val="false"/>
          <w:bCs w:val="false"/>
          <w:i w:val="false"/>
          <w:iCs w:val="false"/>
          <w:color w:val="000000"/>
          <w:sz w:val="20"/>
          <w:szCs w:val="20"/>
        </w:rPr>
        <w:t xml:space="preserve">Existing VBX architectures MAY reference non-US regions (e.g., legacy commercial deployments for Kaiser/Cigna/DHCS). Any architecture that WILL host MT State data must first be remediated to US-only posture. Track remediation here.</w:t>
      </w:r>
    </w:p>
    <w:p>
      <w:pPr>
        <w:spacing w:after="100" w:before="80"/>
        <w:jc w:val="left"/>
      </w:pPr>
      <w:r>
        <w:rPr>
          <w:rFonts w:ascii="Arial" w:cs="Arial" w:eastAsia="Arial" w:hAnsi="Arial"/>
          <w:b w:val="false"/>
          <w:bCs w:val="false"/>
          <w:i/>
          <w:iCs/>
          <w:color w:val="595959"/>
          <w:sz w:val="20"/>
          <w:szCs w:val="20"/>
        </w:rPr>
        <w:t xml:space="preserve">This log is also the audit trail proving VBX identified and closed pre-existing gaps before MT delivery began.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200"/>
        <w:gridCol w:w="2000"/>
        <w:gridCol w:w="2600"/>
        <w:gridCol w:w="2400"/>
        <w:gridCol w:w="1160"/>
      </w:tblGrid>
      <w:tr>
        <w:tc>
          <w:tcPr>
            <w:tcW w:type="dxa" w:w="1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Date Identified</w:t>
            </w:r>
          </w:p>
        </w:tc>
        <w:tc>
          <w:tcPr>
            <w:tcW w:type="dxa" w:w="20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Architecture / Service</w:t>
            </w:r>
          </w:p>
        </w:tc>
        <w:tc>
          <w:tcPr>
            <w:tcW w:type="dxa" w:w="26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Non-Compliance</w:t>
            </w:r>
          </w:p>
        </w:tc>
        <w:tc>
          <w:tcPr>
            <w:tcW w:type="dxa" w:w="2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Remediation Plan</w:t>
            </w:r>
          </w:p>
        </w:tc>
        <w:tc>
          <w:tcPr>
            <w:tcW w:type="dxa" w:w="11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Target Date</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2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Service/architecture</w:t>
            </w:r>
          </w:p>
        </w:tc>
        <w:tc>
          <w:tcPr>
            <w:tcW w:type="dxa" w:w="26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What's non-compliant</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Remediation steps</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2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Service/architecture</w:t>
            </w:r>
          </w:p>
        </w:tc>
        <w:tc>
          <w:tcPr>
            <w:tcW w:type="dxa" w:w="26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What's non-compliant</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Remediation steps</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2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Service/architecture</w:t>
            </w:r>
          </w:p>
        </w:tc>
        <w:tc>
          <w:tcPr>
            <w:tcW w:type="dxa" w:w="26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What's non-compliant</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Remediation steps</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2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Service/architecture</w:t>
            </w:r>
          </w:p>
        </w:tc>
        <w:tc>
          <w:tcPr>
            <w:tcW w:type="dxa" w:w="26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What's non-compliant</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Remediation steps</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2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Service/architecture</w:t>
            </w:r>
          </w:p>
        </w:tc>
        <w:tc>
          <w:tcPr>
            <w:tcW w:type="dxa" w:w="26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What's non-compliant</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Remediation steps</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2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Service/architecture</w:t>
            </w:r>
          </w:p>
        </w:tc>
        <w:tc>
          <w:tcPr>
            <w:tcW w:type="dxa" w:w="26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What's non-compliant</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Remediation steps</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2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Service/architecture</w:t>
            </w:r>
          </w:p>
        </w:tc>
        <w:tc>
          <w:tcPr>
            <w:tcW w:type="dxa" w:w="26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What's non-compliant</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Remediation steps</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2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Service/architecture</w:t>
            </w:r>
          </w:p>
        </w:tc>
        <w:tc>
          <w:tcPr>
            <w:tcW w:type="dxa" w:w="26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What's non-compliant</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Remediation steps</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8.  Change Control</w:t>
      </w:r>
    </w:p>
    <w:p>
      <w:pPr>
        <w:pStyle w:val="Heading2"/>
        <w:spacing w:after="100" w:before="220"/>
      </w:pPr>
      <w:r>
        <w:rPr>
          <w:rFonts w:ascii="Arial" w:cs="Arial" w:eastAsia="Arial" w:hAnsi="Arial"/>
          <w:b/>
          <w:bCs/>
          <w:color w:val="232D5A"/>
          <w:sz w:val="24"/>
          <w:szCs w:val="24"/>
        </w:rPr>
        <w:t xml:space="preserve">8.1  When to Update This Memo</w:t>
      </w:r>
    </w:p>
    <w:p>
      <w:pPr>
        <w:spacing w:after="40" w:before="80"/>
        <w:jc w:val="left"/>
      </w:pPr>
      <w:r>
        <w:rPr>
          <w:rFonts w:ascii="Arial" w:cs="Arial" w:eastAsia="Arial" w:hAnsi="Arial"/>
          <w:b w:val="false"/>
          <w:bCs w:val="false"/>
          <w:i w:val="false"/>
          <w:iCs w:val="false"/>
          <w:color w:val="000000"/>
          <w:sz w:val="20"/>
          <w:szCs w:val="20"/>
        </w:rPr>
        <w:t xml:space="preserve">• Annually (July 1 calendar reminder)</w:t>
      </w:r>
    </w:p>
    <w:p>
      <w:pPr>
        <w:spacing w:after="40" w:before="80"/>
        <w:jc w:val="left"/>
      </w:pPr>
      <w:r>
        <w:rPr>
          <w:rFonts w:ascii="Arial" w:cs="Arial" w:eastAsia="Arial" w:hAnsi="Arial"/>
          <w:b w:val="false"/>
          <w:bCs w:val="false"/>
          <w:i w:val="false"/>
          <w:iCs w:val="false"/>
          <w:color w:val="000000"/>
          <w:sz w:val="20"/>
          <w:szCs w:val="20"/>
        </w:rPr>
        <w:t xml:space="preserve">• Before every new task order bid (verify approved services still cover TO scope)</w:t>
      </w:r>
    </w:p>
    <w:p>
      <w:pPr>
        <w:spacing w:after="40" w:before="80"/>
        <w:jc w:val="left"/>
      </w:pPr>
      <w:r>
        <w:rPr>
          <w:rFonts w:ascii="Arial" w:cs="Arial" w:eastAsia="Arial" w:hAnsi="Arial"/>
          <w:b w:val="false"/>
          <w:bCs w:val="false"/>
          <w:i w:val="false"/>
          <w:iCs w:val="false"/>
          <w:color w:val="000000"/>
          <w:sz w:val="20"/>
          <w:szCs w:val="20"/>
        </w:rPr>
        <w:t xml:space="preserve">• Whenever a cloud provider changes region availability, data residency terms, or compliance certifications materially</w:t>
      </w:r>
    </w:p>
    <w:p>
      <w:pPr>
        <w:spacing w:after="40" w:before="80"/>
        <w:jc w:val="left"/>
      </w:pPr>
      <w:r>
        <w:rPr>
          <w:rFonts w:ascii="Arial" w:cs="Arial" w:eastAsia="Arial" w:hAnsi="Arial"/>
          <w:b w:val="false"/>
          <w:bCs w:val="false"/>
          <w:i w:val="false"/>
          <w:iCs w:val="false"/>
          <w:color w:val="000000"/>
          <w:sz w:val="20"/>
          <w:szCs w:val="20"/>
        </w:rPr>
        <w:t xml:space="preserve">• Whenever a new service is added to the VBX MT delivery stack</w:t>
      </w:r>
    </w:p>
    <w:p>
      <w:pPr>
        <w:spacing w:after="40" w:before="80"/>
        <w:jc w:val="left"/>
      </w:pPr>
      <w:r>
        <w:rPr>
          <w:rFonts w:ascii="Arial" w:cs="Arial" w:eastAsia="Arial" w:hAnsi="Arial"/>
          <w:b w:val="false"/>
          <w:bCs w:val="false"/>
          <w:i w:val="false"/>
          <w:iCs w:val="false"/>
          <w:color w:val="000000"/>
          <w:sz w:val="20"/>
          <w:szCs w:val="20"/>
        </w:rPr>
        <w:t xml:space="preserve">• Whenever an existing service is deprecated or removed</w:t>
      </w:r>
    </w:p>
    <w:p>
      <w:pPr>
        <w:spacing w:after="100" w:before="80"/>
        <w:jc w:val="left"/>
      </w:pPr>
      <w:r>
        <w:rPr>
          <w:rFonts w:ascii="Arial" w:cs="Arial" w:eastAsia="Arial" w:hAnsi="Arial"/>
          <w:b w:val="false"/>
          <w:bCs w:val="false"/>
          <w:i w:val="false"/>
          <w:iCs w:val="false"/>
          <w:color w:val="000000"/>
          <w:sz w:val="20"/>
          <w:szCs w:val="20"/>
        </w:rPr>
        <w:t xml:space="preserve">• On identification of a non-compliant architecture (log in Section 7)</w:t>
      </w:r>
    </w:p>
    <w:p>
      <w:pPr>
        <w:pStyle w:val="Heading2"/>
        <w:spacing w:after="100" w:before="220"/>
      </w:pPr>
      <w:r>
        <w:rPr>
          <w:rFonts w:ascii="Arial" w:cs="Arial" w:eastAsia="Arial" w:hAnsi="Arial"/>
          <w:b/>
          <w:bCs/>
          <w:color w:val="232D5A"/>
          <w:sz w:val="24"/>
          <w:szCs w:val="24"/>
        </w:rPr>
        <w:t xml:space="preserve">8.2  Change Approval Process</w:t>
      </w:r>
    </w:p>
    <w:p>
      <w:pPr>
        <w:spacing w:after="40" w:before="80"/>
        <w:jc w:val="left"/>
      </w:pPr>
      <w:r>
        <w:rPr>
          <w:rFonts w:ascii="Arial" w:cs="Arial" w:eastAsia="Arial" w:hAnsi="Arial"/>
          <w:b w:val="false"/>
          <w:bCs w:val="false"/>
          <w:i w:val="false"/>
          <w:iCs w:val="false"/>
          <w:color w:val="000000"/>
          <w:sz w:val="20"/>
          <w:szCs w:val="20"/>
        </w:rPr>
        <w:t xml:space="preserve">• Owner (AJ) drafts change and updates memo</w:t>
      </w:r>
    </w:p>
    <w:p>
      <w:pPr>
        <w:spacing w:after="40" w:before="80"/>
        <w:jc w:val="left"/>
      </w:pPr>
      <w:r>
        <w:rPr>
          <w:rFonts w:ascii="Arial" w:cs="Arial" w:eastAsia="Arial" w:hAnsi="Arial"/>
          <w:b w:val="false"/>
          <w:bCs w:val="false"/>
          <w:i w:val="false"/>
          <w:iCs w:val="false"/>
          <w:color w:val="000000"/>
          <w:sz w:val="20"/>
          <w:szCs w:val="20"/>
        </w:rPr>
        <w:t xml:space="preserve">• Compliance Officer (Khaalis) contractual review</w:t>
      </w:r>
    </w:p>
    <w:p>
      <w:pPr>
        <w:spacing w:after="40" w:before="80"/>
        <w:jc w:val="left"/>
      </w:pPr>
      <w:r>
        <w:rPr>
          <w:rFonts w:ascii="Arial" w:cs="Arial" w:eastAsia="Arial" w:hAnsi="Arial"/>
          <w:b w:val="false"/>
          <w:bCs w:val="false"/>
          <w:i w:val="false"/>
          <w:iCs w:val="false"/>
          <w:color w:val="000000"/>
          <w:sz w:val="20"/>
          <w:szCs w:val="20"/>
        </w:rPr>
        <w:t xml:space="preserve">• Interim security review — CEO (Akil, covering CISO role until reassignment)</w:t>
      </w:r>
    </w:p>
    <w:p>
      <w:pPr>
        <w:spacing w:after="40" w:before="80"/>
        <w:jc w:val="left"/>
      </w:pPr>
      <w:r>
        <w:rPr>
          <w:rFonts w:ascii="Arial" w:cs="Arial" w:eastAsia="Arial" w:hAnsi="Arial"/>
          <w:b w:val="false"/>
          <w:bCs w:val="false"/>
          <w:i w:val="false"/>
          <w:iCs w:val="false"/>
          <w:color w:val="000000"/>
          <w:sz w:val="20"/>
          <w:szCs w:val="20"/>
        </w:rPr>
        <w:t xml:space="preserve">• External cyber partner review (per TO, if engaged on the affected task order)</w:t>
      </w:r>
    </w:p>
    <w:p>
      <w:pPr>
        <w:spacing w:after="40" w:before="80"/>
        <w:jc w:val="left"/>
      </w:pPr>
      <w:r>
        <w:rPr>
          <w:rFonts w:ascii="Arial" w:cs="Arial" w:eastAsia="Arial" w:hAnsi="Arial"/>
          <w:b w:val="false"/>
          <w:bCs w:val="false"/>
          <w:i w:val="false"/>
          <w:iCs w:val="false"/>
          <w:color w:val="000000"/>
          <w:sz w:val="20"/>
          <w:szCs w:val="20"/>
        </w:rPr>
        <w:t xml:space="preserve">• CEO (Akil) final approval</w:t>
      </w:r>
    </w:p>
    <w:p>
      <w:pPr>
        <w:spacing w:after="100" w:before="80"/>
        <w:jc w:val="left"/>
      </w:pPr>
      <w:r>
        <w:rPr>
          <w:rFonts w:ascii="Arial" w:cs="Arial" w:eastAsia="Arial" w:hAnsi="Arial"/>
          <w:b w:val="false"/>
          <w:bCs w:val="false"/>
          <w:i w:val="false"/>
          <w:iCs w:val="false"/>
          <w:color w:val="000000"/>
          <w:sz w:val="20"/>
          <w:szCs w:val="20"/>
        </w:rPr>
        <w:t xml:space="preserve">• Change log entry created</w:t>
      </w:r>
    </w:p>
    <w:p>
      <w:pPr>
        <w:pStyle w:val="Heading2"/>
        <w:spacing w:after="100" w:before="220"/>
      </w:pPr>
      <w:r>
        <w:rPr>
          <w:rFonts w:ascii="Arial" w:cs="Arial" w:eastAsia="Arial" w:hAnsi="Arial"/>
          <w:b/>
          <w:bCs/>
          <w:color w:val="232D5A"/>
          <w:sz w:val="24"/>
          <w:szCs w:val="24"/>
        </w:rPr>
        <w:t xml:space="preserve">8.3  Change Log</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00"/>
        <w:gridCol w:w="3800"/>
        <w:gridCol w:w="2360"/>
        <w:gridCol w:w="1800"/>
      </w:tblGrid>
      <w:tr>
        <w:tc>
          <w:tcPr>
            <w:tcW w:type="dxa" w:w="1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Date</w:t>
            </w:r>
          </w:p>
        </w:tc>
        <w:tc>
          <w:tcPr>
            <w:tcW w:type="dxa" w:w="38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Change</w:t>
            </w:r>
          </w:p>
        </w:tc>
        <w:tc>
          <w:tcPr>
            <w:tcW w:type="dxa" w:w="23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Approver</w:t>
            </w:r>
          </w:p>
        </w:tc>
        <w:tc>
          <w:tcPr>
            <w:tcW w:type="dxa" w:w="18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Effective</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3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description of change</w:t>
            </w:r>
          </w:p>
        </w:tc>
        <w:tc>
          <w:tcPr>
            <w:tcW w:type="dxa" w:w="23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 + role</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3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description of change</w:t>
            </w:r>
          </w:p>
        </w:tc>
        <w:tc>
          <w:tcPr>
            <w:tcW w:type="dxa" w:w="23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 + role</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3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description of change</w:t>
            </w:r>
          </w:p>
        </w:tc>
        <w:tc>
          <w:tcPr>
            <w:tcW w:type="dxa" w:w="23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 + role</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3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description of change</w:t>
            </w:r>
          </w:p>
        </w:tc>
        <w:tc>
          <w:tcPr>
            <w:tcW w:type="dxa" w:w="23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 + role</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3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description of change</w:t>
            </w:r>
          </w:p>
        </w:tc>
        <w:tc>
          <w:tcPr>
            <w:tcW w:type="dxa" w:w="23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 + role</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3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description of change</w:t>
            </w:r>
          </w:p>
        </w:tc>
        <w:tc>
          <w:tcPr>
            <w:tcW w:type="dxa" w:w="23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 + role</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3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description of change</w:t>
            </w:r>
          </w:p>
        </w:tc>
        <w:tc>
          <w:tcPr>
            <w:tcW w:type="dxa" w:w="23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 + role</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3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description of change</w:t>
            </w:r>
          </w:p>
        </w:tc>
        <w:tc>
          <w:tcPr>
            <w:tcW w:type="dxa" w:w="23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 + role</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9.  Sign-Off</w:t>
      </w:r>
    </w:p>
    <w:p>
      <w:pPr>
        <w:spacing w:after="200" w:before="80"/>
        <w:jc w:val="left"/>
      </w:pPr>
      <w:r>
        <w:rPr>
          <w:rFonts w:ascii="Arial" w:cs="Arial" w:eastAsia="Arial" w:hAnsi="Arial"/>
          <w:b w:val="false"/>
          <w:bCs w:val="false"/>
          <w:i w:val="false"/>
          <w:iCs w:val="false"/>
          <w:color w:val="000000"/>
          <w:sz w:val="20"/>
          <w:szCs w:val="20"/>
        </w:rPr>
        <w:t xml:space="preserve">The following signatures constitute VBX's formal adoption of this cloud architecture posture for Montana Master AI task order delivery. Re-executed annually and on material change.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3480"/>
        <w:gridCol w:w="1440"/>
        <w:gridCol w:w="2040"/>
      </w:tblGrid>
      <w:tr>
        <w:tc>
          <w:tcPr>
            <w:tcW w:type="dxa" w:w="2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Role</w:t>
            </w:r>
          </w:p>
        </w:tc>
        <w:tc>
          <w:tcPr>
            <w:tcW w:type="dxa" w:w="348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Name</w:t>
            </w:r>
          </w:p>
        </w:tc>
        <w:tc>
          <w:tcPr>
            <w:tcW w:type="dxa" w:w="144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Date</w:t>
            </w:r>
          </w:p>
        </w:tc>
        <w:tc>
          <w:tcPr>
            <w:tcW w:type="dxa" w:w="204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Signature</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Prepared By (Owner)</w:t>
            </w:r>
          </w:p>
        </w:tc>
        <w:tc>
          <w:tcPr>
            <w:tcW w:type="dxa" w:w="348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Antony Jayaraj, Director of Data Engineering</w:t>
            </w:r>
          </w:p>
        </w:tc>
        <w:tc>
          <w:tcPr>
            <w:tcW w:type="dxa" w:w="14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MM/DD/YYYY</w:t>
            </w:r>
          </w:p>
        </w:tc>
        <w:tc>
          <w:tcPr>
            <w:tcW w:type="dxa" w:w="20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Compliance Officer</w:t>
            </w:r>
          </w:p>
        </w:tc>
        <w:tc>
          <w:tcPr>
            <w:tcW w:type="dxa" w:w="348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Khaalis Wooden, MBA — Director of Enterprise Capture &amp; Compliance</w:t>
            </w:r>
          </w:p>
        </w:tc>
        <w:tc>
          <w:tcPr>
            <w:tcW w:type="dxa" w:w="14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MM/DD/YYYY</w:t>
            </w:r>
          </w:p>
        </w:tc>
        <w:tc>
          <w:tcPr>
            <w:tcW w:type="dxa" w:w="20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Interim Security Review (Interim CISO Coverage)</w:t>
            </w:r>
          </w:p>
        </w:tc>
        <w:tc>
          <w:tcPr>
            <w:tcW w:type="dxa" w:w="348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Akil R. Chellam, CEO</w:t>
            </w:r>
          </w:p>
        </w:tc>
        <w:tc>
          <w:tcPr>
            <w:tcW w:type="dxa" w:w="14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MM/DD/YYYY</w:t>
            </w:r>
          </w:p>
        </w:tc>
        <w:tc>
          <w:tcPr>
            <w:tcW w:type="dxa" w:w="20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
            </w:r>
          </w:p>
        </w:tc>
      </w:tr>
      <w:tr>
        <w:tc>
          <w:tcPr>
            <w:tcW w:type="dxa" w:w="240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External Cyber Partner Review (per TO, if engaged)</w:t>
            </w:r>
          </w:p>
        </w:tc>
        <w:tc>
          <w:tcPr>
            <w:tcW w:type="dxa" w:w="348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Partner name + reviewer + title</w:t>
            </w:r>
          </w:p>
        </w:tc>
        <w:tc>
          <w:tcPr>
            <w:tcW w:type="dxa" w:w="14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MM/DD/YYYY</w:t>
            </w:r>
          </w:p>
        </w:tc>
        <w:tc>
          <w:tcPr>
            <w:tcW w:type="dxa" w:w="20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Approved By (CEO)</w:t>
            </w:r>
          </w:p>
        </w:tc>
        <w:tc>
          <w:tcPr>
            <w:tcW w:type="dxa" w:w="348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Akil R. Chellam, CEO &amp; Principal Architect</w:t>
            </w:r>
          </w:p>
        </w:tc>
        <w:tc>
          <w:tcPr>
            <w:tcW w:type="dxa" w:w="14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MM/DD/YYYY</w:t>
            </w:r>
          </w:p>
        </w:tc>
        <w:tc>
          <w:tcPr>
            <w:tcW w:type="dxa" w:w="20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
            </w:r>
          </w:p>
        </w:tc>
      </w:tr>
    </w:tbl>
    <w:p>
      <w:pPr>
        <w:spacing w:before="400"/>
        <w:jc w:val="center"/>
      </w:pPr>
      <w:r>
        <w:rPr>
          <w:rFonts w:ascii="Arial" w:cs="Arial" w:eastAsia="Arial" w:hAnsi="Arial"/>
          <w:i/>
          <w:iCs/>
          <w:color w:val="595959"/>
          <w:sz w:val="20"/>
          <w:szCs w:val="20"/>
        </w:rPr>
        <w:t xml:space="preserve">— End of Memo —</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32D5A" w:sz="8" w:space="4"/>
        <w:top w:val="single" w:sz="8" w:space="4" w:color="F7B801"/>
      </w:pBdr>
      <w:jc w:val="center"/>
    </w:pPr>
    <w:r>
      <w:rPr>
        <w:rFonts w:ascii="Arial" w:cs="Arial" w:eastAsia="Arial" w:hAnsi="Arial"/>
        <w:color w:val="8892A4"/>
        <w:sz w:val="16"/>
        <w:szCs w:val="16"/>
      </w:rPr>
      <w:t xml:space="preserve">CAGE 9Z4X2  |  UEI H4X2Z7R9E3E3  |  GSA MAS SIN 54151HEAL  |  </w:t>
    </w:r>
    <w:r>
      <w:rPr>
        <w:rFonts w:ascii="Arial" w:cs="Arial" w:eastAsia="Arial" w:hAnsi="Arial"/>
        <w:color w:val="8892A4"/>
        <w:sz w:val="16"/>
        <w:szCs w:val="16"/>
      </w:rPr>
      <w:t xml:space="preserve">CONFIDENTIAL — INTERNAL COMPLIANCE USE  |  Page </w:t>
    </w:r>
    <w:r>
      <w:rPr>
        <w:rFonts w:ascii="Arial" w:cs="Arial" w:eastAsia="Arial" w:hAnsi="Arial"/>
        <w:color w:val="8892A4"/>
        <w:sz w:val="16"/>
        <w:szCs w:val="16"/>
      </w:rPr>
      <w:fldChar w:fldCharType="begin"/>
      <w:instrText xml:space="preserve">PAGE</w:instrText>
      <w:fldChar w:fldCharType="separate"/>
      <w:fldChar w:fldCharType="end"/>
    </w:r>
    <w:r>
      <w:rPr>
        <w:rFonts w:ascii="Arial" w:cs="Arial" w:eastAsia="Arial" w:hAnsi="Arial"/>
        <w:color w:val="8892A4"/>
        <w:sz w:val="16"/>
        <w:szCs w:val="16"/>
      </w:rPr>
      <w:t xml:space="preserve"> of </w:t>
    </w:r>
    <w:r>
      <w:rPr>
        <w:rFonts w:ascii="Arial" w:cs="Arial" w:eastAsia="Arial" w:hAnsi="Arial"/>
        <w:color w:val="8892A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680"/>
      <w:gridCol w:w="4680"/>
    </w:tblGrid>
    <w:tr>
      <w:tc>
        <w:tcPr>
          <w:tcW w:type="dxa" w:w="3600"/>
          <w:vAlign w:val="center"/>
          <w:tcMar>
            <w:top w:w="0" w:type="dxa"/>
            <w:bottom w:w="0" w:type="dxa"/>
            <w:left w:w="0" w:type="dxa"/>
            <w:right w:w="0" w:type="dxa"/>
          </w:tcMar>
        </w:tcPr>
        <w:p>
          <w:pPr>
            <w:spacing w:after="0" w:before="0"/>
            <w:jc w:val="left"/>
          </w:pPr>
          <w:r>
            <w:drawing>
              <wp:inline xmlns:a="http://schemas.openxmlformats.org/drawingml/2006/main" xmlns:pic="http://schemas.openxmlformats.org/drawingml/2006/picture">
                <wp:extent cx="1554480" cy="654681"/>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54480" cy="654681"/>
                        </a:xfrm>
                        <a:prstGeom prst="rect"/>
                      </pic:spPr>
                    </pic:pic>
                  </a:graphicData>
                </a:graphic>
              </wp:inline>
            </w:drawing>
          </w:r>
        </w:p>
      </w:tc>
      <w:tc>
        <w:tcPr>
          <w:tcW w:type="dxa" w:w="5760"/>
          <w:vAlign w:val="bottom"/>
          <w:tcMar>
            <w:top w:w="0" w:type="dxa"/>
            <w:bottom w:w="0" w:type="dxa"/>
            <w:left w:w="0" w:type="dxa"/>
            <w:right w:w="0" w:type="dxa"/>
          </w:tcMar>
        </w:tcPr>
        <w:p>
          <w:pPr>
            <w:spacing w:after="20" w:before="0"/>
            <w:jc w:val="right"/>
          </w:pPr>
          <w:r>
            <w:rPr>
              <w:rFonts w:ascii="Arial" w:hAnsi="Arial"/>
              <w:b/>
              <w:color w:val="232D5A"/>
              <w:sz w:val="16"/>
            </w:rPr>
            <w:t>Cloud Architecture US-Only Posture Memo</w:t>
          </w:r>
        </w:p>
        <w:p>
          <w:pPr>
            <w:spacing w:before="0" w:after="0"/>
            <w:jc w:val="right"/>
          </w:pPr>
          <w:r>
            <w:rPr>
              <w:rFonts w:ascii="Arial" w:hAnsi="Arial"/>
              <w:b/>
              <w:color w:val="2EA891"/>
              <w:sz w:val="13"/>
            </w:rPr>
            <w:t>B U I L D   W H A T   D O E S N ' T   E X I S T   Y E T</w:t>
          </w:r>
        </w:p>
      </w:tc>
    </w:tr>
  </w:tbl>
  <w:p>
    <w:pPr>
      <w:spacing w:before="40" w:after="0"/>
      <w:pBdr>
        <w:bottom w:val="single" w:sz="12" w:space="1" w:color="2EA89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32D5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32D5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VBX Cloud Architecture US-Only Posture Memo — Montana Master AI</dc:title>
  <dc:creator>Visionblox LLC</dc:creator>
  <dc:description>Cloud infrastructure compliance memo per Exhibit C §15 for Montana SPB-RFP-2026-0608GW</dc:description>
  <cp:lastModifiedBy>Un-named</cp:lastModifiedBy>
  <cp:revision>1</cp:revision>
  <dcterms:created xsi:type="dcterms:W3CDTF">2026-07-02T17:21:47.278Z</dcterms:created>
  <dcterms:modified xsi:type="dcterms:W3CDTF">2026-07-02T17:21:47.278Z</dcterms:modified>
</cp:coreProperties>
</file>

<file path=docProps/custom.xml><?xml version="1.0" encoding="utf-8"?>
<Properties xmlns="http://schemas.openxmlformats.org/officeDocument/2006/custom-properties" xmlns:vt="http://schemas.openxmlformats.org/officeDocument/2006/docPropsVTypes"/>
</file>