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32D5A"/>
          <w:sz w:val="36"/>
          <w:szCs w:val="36"/>
        </w:rPr>
        <w:t xml:space="preserve">VISIONBLOX LLC</w:t>
      </w:r>
    </w:p>
    <w:p>
      <w:pPr>
        <w:spacing w:after="400" w:before="0"/>
        <w:jc w:val="center"/>
      </w:pPr>
      <w:r>
        <w:rPr>
          <w:rFonts w:ascii="Arial" w:cs="Arial" w:eastAsia="Arial" w:hAnsi="Arial"/>
          <w:b/>
          <w:bCs/>
          <w:color w:val="2EA891"/>
          <w:sz w:val="28"/>
          <w:szCs w:val="28"/>
        </w:rPr>
        <w:t xml:space="preserve">TASK ORDER PRICING PLAYBOOK</w:t>
      </w:r>
    </w:p>
    <w:p>
      <w:pPr>
        <w:spacing w:after="200" w:before="0"/>
        <w:jc w:val="center"/>
      </w:pPr>
      <w:r>
        <w:rPr>
          <w:rFonts w:ascii="Arial" w:cs="Arial" w:eastAsia="Arial" w:hAnsi="Arial"/>
          <w:b/>
          <w:bCs/>
          <w:color w:val="000000"/>
          <w:sz w:val="22"/>
          <w:szCs w:val="22"/>
        </w:rPr>
        <w:t xml:space="preserve">Three-Tier Pricing Framework for Master Vehicle Task Order Capture</w:t>
      </w:r>
    </w:p>
    <w:p>
      <w:pPr>
        <w:spacing w:after="200" w:before="0"/>
        <w:jc w:val="center"/>
      </w:pPr>
      <w:r>
        <w:rPr>
          <w:rFonts w:ascii="Arial" w:cs="Arial" w:eastAsia="Arial" w:hAnsi="Arial"/>
          <w:i/>
          <w:iCs/>
          <w:color w:val="595959"/>
          <w:sz w:val="20"/>
          <w:szCs w:val="20"/>
        </w:rPr>
        <w:t xml:space="preserve">Response to Montana Master AI Cost-Score Post-Mortem (SPB-RFP-2026-0608GW)</w:t>
      </w:r>
    </w:p>
    <w:p>
      <w:pPr>
        <w:pBdr>
          <w:top w:val="single" w:color="F7B801" w:sz="24" w:space="8"/>
        </w:pBdr>
        <w:spacing w:after="200" w:before="200"/>
        <w:jc w:val="center"/>
      </w:pPr>
      <w:r>
        <w:rPr>
          <w:rFonts w:ascii="Arial" w:cs="Arial" w:eastAsia="Arial" w:hAnsi="Arial"/>
        </w:rPr>
        <w:t xml:space="preserve"/>
      </w:r>
    </w:p>
    <w:p>
      <w:pPr>
        <w:spacing w:after="80" w:before="400"/>
        <w:jc w:val="center"/>
      </w:pPr>
      <w:r>
        <w:rPr>
          <w:rFonts w:ascii="Arial" w:cs="Arial" w:eastAsia="Arial" w:hAnsi="Arial"/>
          <w:b/>
          <w:bCs/>
          <w:color w:val="232D5A"/>
          <w:sz w:val="20"/>
          <w:szCs w:val="20"/>
        </w:rPr>
        <w:t xml:space="preserve">Strategic Trigger</w:t>
      </w:r>
    </w:p>
    <w:p>
      <w:pPr>
        <w:spacing w:after="200" w:before="0"/>
        <w:jc w:val="center"/>
      </w:pPr>
      <w:r>
        <w:rPr>
          <w:rFonts w:ascii="Arial" w:cs="Arial" w:eastAsia="Arial" w:hAnsi="Arial"/>
          <w:b/>
          <w:bCs/>
          <w:color w:val="B30000"/>
          <w:sz w:val="20"/>
          <w:szCs w:val="20"/>
        </w:rPr>
        <w:t xml:space="preserve">Track 2 Cost Score: 0.88 / 200 (0.4%) at $3.225M against $14,247 low bid.</w:t>
      </w:r>
    </w:p>
    <w:p>
      <w:pPr>
        <w:spacing w:after="400" w:before="0"/>
        <w:jc w:val="center"/>
      </w:pPr>
      <w:r>
        <w:rPr>
          <w:rFonts w:ascii="Arial" w:cs="Arial" w:eastAsia="Arial" w:hAnsi="Arial"/>
          <w:i/>
          <w:iCs/>
          <w:color w:val="000000"/>
          <w:sz w:val="20"/>
          <w:szCs w:val="20"/>
        </w:rPr>
        <w:t xml:space="preserve">Survives master vehicle scoring. Does not survive task order competition where cost weighting is ≥ 20%.</w:t>
      </w:r>
    </w:p>
    <w:p>
      <w:pPr>
        <w:spacing w:after="80" w:before="400"/>
        <w:jc w:val="center"/>
      </w:pPr>
      <w:r>
        <w:rPr>
          <w:rFonts w:ascii="Arial" w:cs="Arial" w:eastAsia="Arial" w:hAnsi="Arial"/>
          <w:color w:val="000000"/>
          <w:sz w:val="20"/>
          <w:szCs w:val="20"/>
        </w:rPr>
        <w:t xml:space="preserve">Owner: Khaalis Wooden, MBA — Director of Enterprise Capture &amp; Compliance</w:t>
      </w:r>
    </w:p>
    <w:p>
      <w:pPr>
        <w:spacing w:after="80" w:before="0"/>
        <w:jc w:val="center"/>
      </w:pPr>
      <w:r>
        <w:rPr>
          <w:rFonts w:ascii="Arial" w:cs="Arial" w:eastAsia="Arial" w:hAnsi="Arial"/>
          <w:color w:val="000000"/>
          <w:sz w:val="20"/>
          <w:szCs w:val="20"/>
        </w:rPr>
        <w:t xml:space="preserve">Approver: Akil R. Chellam, CEO</w:t>
      </w:r>
    </w:p>
    <w:p>
      <w:pPr>
        <w:spacing w:after="80" w:before="0"/>
        <w:jc w:val="center"/>
      </w:pPr>
      <w:r>
        <w:rPr>
          <w:rFonts w:ascii="Arial" w:cs="Arial" w:eastAsia="Arial" w:hAnsi="Arial"/>
          <w:color w:val="000000"/>
          <w:sz w:val="20"/>
          <w:szCs w:val="20"/>
        </w:rPr>
        <w:t xml:space="preserve">Version: 1.0  |  Effective Date: ____________________</w:t>
      </w:r>
    </w:p>
    <w:p>
      <w:pPr>
        <w:spacing w:after="80" w:before="200"/>
        <w:jc w:val="center"/>
      </w:pPr>
      <w:r>
        <w:rPr>
          <w:rFonts w:ascii="Arial" w:cs="Arial" w:eastAsia="Arial" w:hAnsi="Arial"/>
          <w:color w:val="595959"/>
          <w:sz w:val="18"/>
          <w:szCs w:val="18"/>
        </w:rPr>
        <w:t xml:space="preserve">CAGE 9Z4X2  |  UEI H4X2Z7R9E3E3  |  GSA MAS SIN 54151HEAL</w:t>
      </w:r>
    </w:p>
    <w:p>
      <w:pPr>
        <w:spacing w:after="80" w:before="0"/>
        <w:jc w:val="center"/>
      </w:pPr>
      <w:r>
        <w:rPr>
          <w:rFonts w:ascii="Arial" w:cs="Arial" w:eastAsia="Arial" w:hAnsi="Arial"/>
          <w:b/>
          <w:bCs/>
          <w:color w:val="232D5A"/>
          <w:sz w:val="18"/>
          <w:szCs w:val="18"/>
        </w:rPr>
        <w:t xml:space="preserve">CONFIDENTIAL — INTERNAL BD USE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1.  Executive Summary</w:t>
      </w:r>
    </w:p>
    <w:p>
      <w:pPr>
        <w:spacing w:after="160" w:before="80"/>
        <w:jc w:val="left"/>
      </w:pPr>
      <w:r>
        <w:rPr>
          <w:rFonts w:ascii="Arial" w:cs="Arial" w:eastAsia="Arial" w:hAnsi="Arial"/>
          <w:b w:val="false"/>
          <w:bCs w:val="false"/>
          <w:i w:val="false"/>
          <w:iCs w:val="false"/>
          <w:color w:val="000000"/>
          <w:sz w:val="20"/>
          <w:szCs w:val="20"/>
        </w:rPr>
        <w:t xml:space="preserve">This playbook is VBX's operational manual for pricing task orders competed under multi-vendor master vehicles — starting with the Montana Master AI Products and Services vehicle (SPB-RFP-2026-0608GW). It is the direct operational response to the Montana Track 2 cost score of 0.88 / 200 and to the structural pricing risk that score exposes.</w:t>
      </w:r>
    </w:p>
    <w:p>
      <w:pPr>
        <w:spacing w:after="100" w:before="80"/>
        <w:jc w:val="left"/>
      </w:pPr>
      <w:r>
        <w:rPr>
          <w:rFonts w:ascii="Arial" w:cs="Arial" w:eastAsia="Arial" w:hAnsi="Arial"/>
          <w:b w:val="false"/>
          <w:bCs w:val="false"/>
          <w:i w:val="false"/>
          <w:iCs w:val="false"/>
          <w:color w:val="000000"/>
          <w:sz w:val="20"/>
          <w:szCs w:val="20"/>
        </w:rPr>
        <w:t xml:space="preserve">The playbook establishes three principles as VBX policy:</w:t>
      </w:r>
    </w:p>
    <w:p>
      <w:pPr>
        <w:spacing w:after="80" w:before="80"/>
        <w:jc w:val="left"/>
      </w:pPr>
      <w:r>
        <w:rPr>
          <w:rFonts w:ascii="Arial" w:cs="Arial" w:eastAsia="Arial" w:hAnsi="Arial"/>
          <w:b/>
          <w:bCs/>
          <w:i w:val="false"/>
          <w:iCs w:val="false"/>
          <w:color w:val="000000"/>
          <w:sz w:val="20"/>
          <w:szCs w:val="20"/>
        </w:rPr>
        <w:t xml:space="preserve">First, </w:t>
      </w:r>
      <w:r>
        <w:rPr>
          <w:rFonts w:ascii="Arial" w:cs="Arial" w:eastAsia="Arial" w:hAnsi="Arial"/>
          <w:b w:val="false"/>
          <w:bCs w:val="false"/>
          <w:i w:val="false"/>
          <w:iCs w:val="false"/>
          <w:color w:val="000000"/>
          <w:sz w:val="20"/>
          <w:szCs w:val="20"/>
        </w:rPr>
        <w:t xml:space="preserve">one pricing posture is insufficient. VBX will operate three pricing tiers — Penetration (Tier A), Market-Rate (Tier B), and Value-Premium (Tier C) — and match tier to task order competitive intensity and strategic value on a per-TO basis.</w:t>
      </w:r>
    </w:p>
    <w:p>
      <w:pPr>
        <w:spacing w:after="80" w:before="80"/>
        <w:jc w:val="left"/>
      </w:pPr>
      <w:r>
        <w:rPr>
          <w:rFonts w:ascii="Arial" w:cs="Arial" w:eastAsia="Arial" w:hAnsi="Arial"/>
          <w:b/>
          <w:bCs/>
          <w:i w:val="false"/>
          <w:iCs w:val="false"/>
          <w:color w:val="000000"/>
          <w:sz w:val="20"/>
          <w:szCs w:val="20"/>
        </w:rPr>
        <w:t xml:space="preserve">Second, </w:t>
      </w:r>
      <w:r>
        <w:rPr>
          <w:rFonts w:ascii="Arial" w:cs="Arial" w:eastAsia="Arial" w:hAnsi="Arial"/>
          <w:b w:val="false"/>
          <w:bCs w:val="false"/>
          <w:i w:val="false"/>
          <w:iCs w:val="false"/>
          <w:color w:val="000000"/>
          <w:sz w:val="20"/>
          <w:szCs w:val="20"/>
        </w:rPr>
        <w:t xml:space="preserve">not every task order is bid. VBX will apply a strategic-value × win-probability matrix to bid selection, with formal no-bid decisions on TOs that fall in the low-value / low-probability quadrant.</w:t>
      </w:r>
    </w:p>
    <w:p>
      <w:pPr>
        <w:spacing w:after="80" w:before="80"/>
        <w:jc w:val="left"/>
      </w:pPr>
      <w:r>
        <w:rPr>
          <w:rFonts w:ascii="Arial" w:cs="Arial" w:eastAsia="Arial" w:hAnsi="Arial"/>
          <w:b/>
          <w:bCs/>
          <w:i w:val="false"/>
          <w:iCs w:val="false"/>
          <w:color w:val="000000"/>
          <w:sz w:val="20"/>
          <w:szCs w:val="20"/>
        </w:rPr>
        <w:t xml:space="preserve">Third, </w:t>
      </w:r>
      <w:r>
        <w:rPr>
          <w:rFonts w:ascii="Arial" w:cs="Arial" w:eastAsia="Arial" w:hAnsi="Arial"/>
          <w:b w:val="false"/>
          <w:bCs w:val="false"/>
          <w:i w:val="false"/>
          <w:iCs w:val="false"/>
          <w:color w:val="000000"/>
          <w:sz w:val="20"/>
          <w:szCs w:val="20"/>
        </w:rPr>
        <w:t xml:space="preserve">cost reduction is a structural discipline, not a pricing tactic. Reusable IP, delivery automation, framework productization, and modular proposal generation compound to reduce underlying delivery cost so that competitive pricing does not erode margin.</w:t>
      </w:r>
    </w:p>
    <w:p>
      <w:pPr>
        <w:spacing w:after="200" w:before="80"/>
        <w:jc w:val="left"/>
      </w:pPr>
      <w:r>
        <w:rPr>
          <w:rFonts w:ascii="Arial" w:cs="Arial" w:eastAsia="Arial" w:hAnsi="Arial"/>
          <w:b w:val="false"/>
          <w:bCs w:val="false"/>
          <w:i w:val="false"/>
          <w:iCs w:val="false"/>
          <w:color w:val="000000"/>
          <w:sz w:val="20"/>
          <w:szCs w:val="20"/>
        </w:rPr>
        <w:t xml:space="preserve">This playbook applies to every task order competed against the Montana Master AI vehicle and to future master vehicle task orders as VBX wins additional vehicles. It does not apply to direct-award engagements, sole-source pursuits, or commercial engagements — those retain independent pricing methodologies.</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2.  Cost Scoring Math — The Structural Bind</w:t>
      </w:r>
    </w:p>
    <w:p>
      <w:pPr>
        <w:pStyle w:val="Heading2"/>
        <w:spacing w:after="100" w:before="220"/>
      </w:pPr>
      <w:r>
        <w:rPr>
          <w:rFonts w:ascii="Arial" w:cs="Arial" w:eastAsia="Arial" w:hAnsi="Arial"/>
          <w:b/>
          <w:bCs/>
          <w:color w:val="232D5A"/>
          <w:sz w:val="24"/>
          <w:szCs w:val="24"/>
        </w:rPr>
        <w:t xml:space="preserve">2.1  The Formula in Play</w:t>
      </w:r>
    </w:p>
    <w:p>
      <w:pPr>
        <w:spacing w:after="100" w:before="80"/>
        <w:jc w:val="left"/>
      </w:pPr>
      <w:r>
        <w:rPr>
          <w:rFonts w:ascii="Arial" w:cs="Arial" w:eastAsia="Arial" w:hAnsi="Arial"/>
          <w:b w:val="false"/>
          <w:bCs w:val="false"/>
          <w:i w:val="false"/>
          <w:iCs w:val="false"/>
          <w:color w:val="000000"/>
          <w:sz w:val="20"/>
          <w:szCs w:val="20"/>
        </w:rPr>
        <w:t xml:space="preserve">Task order competitions against the Montana Master AI vehicle use the standard inverse-ratio cost formula. This is a common but hostile formula for premium pricing:</w:t>
      </w:r>
    </w:p>
    <w:p>
      <w:pPr>
        <w:pBdr>
          <w:top w:val="single" w:color="2EA891" w:sz="8" w:space="4"/>
          <w:bottom w:val="single" w:color="2EA891" w:sz="8" w:space="4"/>
          <w:left w:val="single" w:color="2EA891" w:sz="8" w:space="4"/>
          <w:right w:val="single" w:color="2EA891" w:sz="8" w:space="4"/>
        </w:pBdr>
        <w:spacing w:after="200" w:before="200"/>
        <w:jc w:val="center"/>
      </w:pPr>
      <w:r>
        <w:rPr>
          <w:rFonts w:ascii="Arial" w:cs="Arial" w:eastAsia="Arial" w:hAnsi="Arial"/>
          <w:b/>
          <w:bCs/>
          <w:color w:val="232D5A"/>
          <w:sz w:val="24"/>
          <w:szCs w:val="24"/>
        </w:rPr>
        <w:t xml:space="preserve">Cost Score  =  (Lowest Bid  ÷  Your Bid)  ×  Max Cost Points</w:t>
      </w:r>
    </w:p>
    <w:p>
      <w:pPr>
        <w:spacing w:after="60" w:before="80"/>
        <w:jc w:val="left"/>
      </w:pPr>
      <w:r>
        <w:rPr>
          <w:rFonts w:ascii="Arial" w:cs="Arial" w:eastAsia="Arial" w:hAnsi="Arial"/>
          <w:b w:val="false"/>
          <w:bCs w:val="false"/>
          <w:i w:val="false"/>
          <w:iCs w:val="false"/>
          <w:color w:val="000000"/>
          <w:sz w:val="20"/>
          <w:szCs w:val="20"/>
        </w:rPr>
        <w:t xml:space="preserve">Verification against Montana Track 2 result:</w:t>
      </w:r>
    </w:p>
    <w:p>
      <w:pPr>
        <w:spacing w:after="80" w:before="80"/>
        <w:jc w:val="center"/>
      </w:pPr>
      <w:r>
        <w:rPr>
          <w:rFonts w:ascii="Arial" w:cs="Arial" w:eastAsia="Arial" w:hAnsi="Arial"/>
          <w:b/>
          <w:bCs/>
          <w:i w:val="false"/>
          <w:iCs w:val="false"/>
          <w:color w:val="000000"/>
          <w:sz w:val="22"/>
          <w:szCs w:val="22"/>
        </w:rPr>
        <w:t xml:space="preserve">($14,247 ÷ $3,225,000) × 200  =  0.883</w:t>
      </w:r>
    </w:p>
    <w:p>
      <w:pPr>
        <w:spacing w:after="200" w:before="80"/>
        <w:jc w:val="center"/>
      </w:pPr>
      <w:r>
        <w:rPr>
          <w:rFonts w:ascii="Arial" w:cs="Arial" w:eastAsia="Arial" w:hAnsi="Arial"/>
          <w:b w:val="false"/>
          <w:bCs w:val="false"/>
          <w:i/>
          <w:iCs/>
          <w:color w:val="595959"/>
          <w:sz w:val="20"/>
          <w:szCs w:val="20"/>
        </w:rPr>
        <w:t xml:space="preserve">Matches the awarded score exactly. Formula confirmed.</w:t>
      </w:r>
    </w:p>
    <w:p>
      <w:pPr>
        <w:pStyle w:val="Heading2"/>
        <w:spacing w:after="100" w:before="220"/>
      </w:pPr>
      <w:r>
        <w:rPr>
          <w:rFonts w:ascii="Arial" w:cs="Arial" w:eastAsia="Arial" w:hAnsi="Arial"/>
          <w:b/>
          <w:bCs/>
          <w:color w:val="232D5A"/>
          <w:sz w:val="24"/>
          <w:szCs w:val="24"/>
        </w:rPr>
        <w:t xml:space="preserve">2.2  What This Means at Task Order Scale</w:t>
      </w:r>
    </w:p>
    <w:p>
      <w:pPr>
        <w:spacing w:after="100" w:before="80"/>
        <w:jc w:val="left"/>
      </w:pPr>
      <w:r>
        <w:rPr>
          <w:rFonts w:ascii="Arial" w:cs="Arial" w:eastAsia="Arial" w:hAnsi="Arial"/>
          <w:b w:val="false"/>
          <w:bCs w:val="false"/>
          <w:i w:val="false"/>
          <w:iCs w:val="false"/>
          <w:color w:val="000000"/>
          <w:sz w:val="20"/>
          <w:szCs w:val="20"/>
        </w:rPr>
        <w:t xml:space="preserve">Per Service Contract Base §3, Tier 3 task orders (&gt;$100K) must weight cost at minimum 20% of total points. On a typical 1,000-point rubric, cost is worth at least 200 points. Applying the inverse-ratio formula produces the following cost score outcomes: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Competitor Bid</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VBX Bid</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VBX Cost Score</w:t>
            </w:r>
          </w:p>
        </w:tc>
        <w:tc>
          <w:tcPr>
            <w:tcW w:type="dxa" w:w="18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Cost Gap</w:t>
            </w:r>
          </w:p>
        </w:tc>
        <w:tc>
          <w:tcPr>
            <w:tcW w:type="dxa" w:w="21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Tech Merit Needed to Overcome</w:t>
            </w:r>
          </w:p>
        </w:tc>
      </w:tr>
      <w:tr>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$300,000</w:t>
            </w:r>
          </w:p>
        </w:tc>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$500,000</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120 / 200</w:t>
            </w:r>
          </w:p>
        </w:tc>
        <w:tc>
          <w:tcPr>
            <w:tcW w:type="dxa" w:w="18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80 points</w:t>
            </w:r>
          </w:p>
        </w:tc>
        <w:tc>
          <w:tcPr>
            <w:tcW w:type="dxa" w:w="216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+10% technical margin</w:t>
            </w:r>
          </w:p>
        </w:tc>
      </w:tr>
      <w:tr>
        <w:tc>
          <w:tcPr>
            <w:tcW w:type="dxa" w:w="1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$400,000</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$500,000</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160 / 200</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40 points</w:t>
            </w:r>
          </w:p>
        </w:tc>
        <w:tc>
          <w:tcPr>
            <w:tcW w:type="dxa" w:w="216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+5% technical margin</w:t>
            </w:r>
          </w:p>
        </w:tc>
      </w:tr>
      <w:tr>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$450,000</w:t>
            </w:r>
          </w:p>
        </w:tc>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$500,000</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180 / 200</w:t>
            </w:r>
          </w:p>
        </w:tc>
        <w:tc>
          <w:tcPr>
            <w:tcW w:type="dxa" w:w="180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20 points</w:t>
            </w:r>
          </w:p>
        </w:tc>
        <w:tc>
          <w:tcPr>
            <w:tcW w:type="dxa" w:w="216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+2.5% technical margin</w:t>
            </w:r>
          </w:p>
        </w:tc>
      </w:tr>
      <w:tr>
        <w:tc>
          <w:tcPr>
            <w:tcW w:type="dxa" w:w="1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$200,000</w:t>
            </w:r>
          </w:p>
        </w:tc>
        <w:tc>
          <w:tcPr>
            <w:tcW w:type="dxa" w:w="18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$500,000</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80 / 200</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120 points</w:t>
            </w:r>
          </w:p>
        </w:tc>
        <w:tc>
          <w:tcPr>
            <w:tcW w:type="dxa" w:w="216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+15% technical margin</w:t>
            </w:r>
          </w:p>
        </w:tc>
      </w:tr>
      <w:tr>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$100,000</w:t>
            </w:r>
          </w:p>
        </w:tc>
        <w:tc>
          <w:tcPr>
            <w:tcW w:type="dxa" w:w="18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$500,000</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40 / 200</w:t>
            </w:r>
          </w:p>
        </w:tc>
        <w:tc>
          <w:tcPr>
            <w:tcW w:type="dxa" w:w="18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160 points</w:t>
            </w:r>
          </w:p>
        </w:tc>
        <w:tc>
          <w:tcPr>
            <w:tcW w:type="dxa" w:w="216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+20% technical margin</w:t>
            </w:r>
          </w:p>
        </w:tc>
      </w:tr>
    </w:tbl>
    <w:p>
      <w:pPr>
        <w:spacing w:after="100" w:before="80"/>
        <w:jc w:val="left"/>
      </w:pPr>
      <w:r>
        <w:rPr>
          <w:rFonts w:ascii="Arial" w:cs="Arial" w:eastAsia="Arial" w:hAnsi="Arial"/>
          <w:b w:val="false"/>
          <w:bCs w:val="false"/>
          <w:i/>
          <w:iCs/>
          <w:color w:val="595959"/>
          <w:sz w:val="20"/>
          <w:szCs w:val="20"/>
        </w:rPr>
        <w:t xml:space="preserve">For any competitor within roughly 80% of VBX's price, technical merit can carry the win. Beyond that, the cost gap becomes structurally unwinnable regardless of technical narrative quality. This defines the pricing discipline VBX must operate under.</w:t>
      </w:r>
    </w:p>
    <w:p>
      <w:pPr>
        <w:pStyle w:val="Heading2"/>
        <w:spacing w:after="100" w:before="220"/>
      </w:pPr>
      <w:r>
        <w:rPr>
          <w:rFonts w:ascii="Arial" w:cs="Arial" w:eastAsia="Arial" w:hAnsi="Arial"/>
          <w:b/>
          <w:bCs/>
          <w:color w:val="232D5A"/>
          <w:sz w:val="24"/>
          <w:szCs w:val="24"/>
        </w:rPr>
        <w:t xml:space="preserve">2.3  The Master Vehicle Anomaly</w:t>
      </w:r>
    </w:p>
    <w:p>
      <w:pPr>
        <w:spacing w:after="200" w:before="80"/>
        <w:jc w:val="left"/>
      </w:pPr>
      <w:r>
        <w:rPr>
          <w:rFonts w:ascii="Arial" w:cs="Arial" w:eastAsia="Arial" w:hAnsi="Arial"/>
          <w:b w:val="false"/>
          <w:bCs w:val="false"/>
          <w:i w:val="false"/>
          <w:iCs w:val="false"/>
          <w:color w:val="000000"/>
          <w:sz w:val="20"/>
          <w:szCs w:val="20"/>
        </w:rPr>
        <w:t xml:space="preserve">VBX won both Montana tracks despite a 0.88 cost score because the master vehicle scoring rubric weighted technical merit heavily and applied pass/fail gates for the highest-consequence provisions. Task order rubrics do not replicate this posture. The master vehicle win does not signal that VBX's pricing strategy is sustainable at task order scale — it signals that VBX has one opportunity to fix pricing before task orders start dropping.</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3.  Three-Tier Pricing Framework</w:t>
      </w:r>
    </w:p>
    <w:p>
      <w:pPr>
        <w:spacing w:after="100" w:before="80"/>
        <w:jc w:val="left"/>
      </w:pPr>
      <w:r>
        <w:rPr>
          <w:rFonts w:ascii="Arial" w:cs="Arial" w:eastAsia="Arial" w:hAnsi="Arial"/>
          <w:b w:val="false"/>
          <w:bCs w:val="false"/>
          <w:i w:val="false"/>
          <w:iCs w:val="false"/>
          <w:color w:val="000000"/>
          <w:sz w:val="20"/>
          <w:szCs w:val="20"/>
        </w:rPr>
        <w:t xml:space="preserve">VBX operates three pricing tiers, matched to task order competitive intensity and strategic value. Tier selection is a bid-decision made at the go/no-go stage — not a pricing-team calculation made after the bid is committed.</w:t>
      </w:r>
    </w:p>
    <w:p>
      <w:pPr>
        <w:pStyle w:val="Heading2"/>
        <w:spacing w:after="100" w:before="220"/>
      </w:pPr>
      <w:r>
        <w:rPr>
          <w:rFonts w:ascii="Arial" w:cs="Arial" w:eastAsia="Arial" w:hAnsi="Arial"/>
          <w:b/>
          <w:bCs/>
          <w:color w:val="232D5A"/>
          <w:sz w:val="24"/>
          <w:szCs w:val="24"/>
        </w:rPr>
        <w:t xml:space="preserve">3.1  Tier A — Penetration Pricing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Target Margin</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Break-even to 5%</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When to Use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First 2–3 task orders under any new master vehicle where the win establishes track record. Any TO where strategic value (agency relationship, PP anchor, follow-on TO pipeline access) exceeds margin cost of the engagement.</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Pricing Target</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Match or narrowly beat the median expected bid. Never attempt to match the lowest bid on productized commercial pricing (e.g., Magic School's $14K K-12 SaaS). Aim to reduce cost-score gap from 200-point to 30-point or better.</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Value Narrative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Match-competitor-on-price posture. Emphasize speed-to-stand-up, hands-on delivery team accessibility, and small-business responsiveness. Technical merit narrative can be moderate — cost carries the win.</w:t>
            </w:r>
          </w:p>
        </w:tc>
      </w:tr>
      <w:tr>
        <w:tc>
          <w:tcPr>
            <w:tcW w:type="dxa" w:w="22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Guardrails</w:t>
            </w:r>
          </w:p>
        </w:tc>
        <w:tc>
          <w:tcPr>
            <w:tcW w:type="dxa" w:w="716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Never more than 20% of active pipeline on Tier A pricing simultaneously. Never Tier A on TOs with high execution risk — zero margin plus delivery slippage produces actual losses. CEO approval required for any Tier A bid exceeding $500K in scope.</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Escape Ramp</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Every Tier A engagement must have a documented pathway to Tier B or Tier C pricing on follow-on TOs from the same agency. Track record without margin is a losing proposition long-term.</w:t>
            </w:r>
          </w:p>
        </w:tc>
      </w:tr>
    </w:tbl>
    <w:p>
      <w:pPr>
        <w:pStyle w:val="Heading2"/>
        <w:spacing w:after="100" w:before="220"/>
      </w:pPr>
      <w:r>
        <w:rPr>
          <w:rFonts w:ascii="Arial" w:cs="Arial" w:eastAsia="Arial" w:hAnsi="Arial"/>
          <w:b/>
          <w:bCs/>
          <w:color w:val="232D5A"/>
          <w:sz w:val="24"/>
          <w:szCs w:val="24"/>
        </w:rPr>
        <w:t xml:space="preserve">3.2  Tier B — Market-Rate Pricing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Target Margin</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15% to 25%</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When to Use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Default posture after the first 2–3 wins under any master vehicle. Task orders where VBX has genuine competitive relevance but faces credible competitors. Standard business.</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Pricing Target</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Match the 25th–50th percentile of expected bid distribution. Cost-score gap of 20–40 points, closable via technical merit and value differentiation.</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Value Narrative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Balanced. Named past performance, quantified outcomes, domain fit, delivery-team named at bid. Technical merit narrative should distinctly beat the median competitor.</w:t>
            </w:r>
          </w:p>
        </w:tc>
      </w:tr>
      <w:tr>
        <w:tc>
          <w:tcPr>
            <w:tcW w:type="dxa" w:w="22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Guardrails</w:t>
            </w:r>
          </w:p>
        </w:tc>
        <w:tc>
          <w:tcPr>
            <w:tcW w:type="dxa" w:w="716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Requires solid competitor intelligence per TO. Blind Tier B pricing (bid without knowing the field) loses on cost without adequate tech merit lift. Compliance Officer verifies competitor scan is documented before bid submission.</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Escape Ramp</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Follow-on TOs from a successful Tier B engagement should migrate to Tier C where domain authority has been established. Track migration and document justification for staying at Tier B when appropriate.</w:t>
            </w:r>
          </w:p>
        </w:tc>
      </w:tr>
    </w:tbl>
    <w:p>
      <w:pPr>
        <w:pStyle w:val="Heading2"/>
        <w:spacing w:after="100" w:before="220"/>
      </w:pPr>
      <w:r>
        <w:rPr>
          <w:rFonts w:ascii="Arial" w:cs="Arial" w:eastAsia="Arial" w:hAnsi="Arial"/>
          <w:b/>
          <w:bCs/>
          <w:color w:val="232D5A"/>
          <w:sz w:val="24"/>
          <w:szCs w:val="24"/>
        </w:rPr>
        <w:t xml:space="preserve">3.3  Tier C — Value-Premium Pricing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Target Margin</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30% to 45%</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When to Use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Task orders where VBX has uncontested domain authority. CAH transformation. Rural health analytics. Healthcare IT with HL7/FHIR/Cures Act specificity. Medicaid modernization anchored to DHCS-analog experience. Any scope where CAHSP framework or CMS HCRIS methodology is a genuine delivery accelerator.</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Pricing Target</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10–30% above expected median bid. Cost-score gap of 40–60 points, closed by dominant technical narrative.</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Value Narrative</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Airtight. Named federal-analog past performance on the exact use case class. Domain-embedded team with quantified track record. Framework-anchored delivery approach. Compliance depth (HIPAA-native, SOC 2 in progress, NIST 800-53 Moderate, HITRUST-adjacent). Explicit quantified justification for the premium.</w:t>
            </w:r>
          </w:p>
        </w:tc>
      </w:tr>
      <w:tr>
        <w:tc>
          <w:tcPr>
            <w:tcW w:type="dxa" w:w="220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Guardrails</w:t>
            </w:r>
          </w:p>
        </w:tc>
        <w:tc>
          <w:tcPr>
            <w:tcW w:type="dxa" w:w="716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Requires evaluator rubric that allows technical merit points to exceed cost score gap. If the rubric weights cost too heavily (e.g., &gt;30% of total), Tier C loses regardless of narrative quality. Compliance Officer verifies rubric analysis is documented before Tier C is selected.</w:t>
            </w:r>
          </w:p>
        </w:tc>
      </w:tr>
      <w:tr>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Escape Ramp</w:t>
            </w:r>
          </w:p>
        </w:tc>
        <w:tc>
          <w:tcPr>
            <w:tcW w:type="dxa" w:w="71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None needed. Tier C is the target end-state for domain-authoritative TOs.</w:t>
            </w:r>
          </w:p>
        </w:tc>
      </w:tr>
    </w:tbl>
    <w:p>
      <w:pPr>
        <w:pStyle w:val="Heading2"/>
        <w:spacing w:after="100" w:before="220"/>
      </w:pPr>
      <w:r>
        <w:rPr>
          <w:rFonts w:ascii="Arial" w:cs="Arial" w:eastAsia="Arial" w:hAnsi="Arial"/>
          <w:b/>
          <w:bCs/>
          <w:color w:val="232D5A"/>
          <w:sz w:val="24"/>
          <w:szCs w:val="24"/>
        </w:rPr>
        <w:t xml:space="preserve">3.4  Tier Distribution Target</w:t>
      </w:r>
    </w:p>
    <w:p>
      <w:pPr>
        <w:spacing w:after="100" w:before="80"/>
        <w:jc w:val="left"/>
      </w:pPr>
      <w:r>
        <w:rPr>
          <w:rFonts w:ascii="Arial" w:cs="Arial" w:eastAsia="Arial" w:hAnsi="Arial"/>
          <w:b w:val="false"/>
          <w:bCs w:val="false"/>
          <w:i w:val="false"/>
          <w:iCs w:val="false"/>
          <w:color w:val="000000"/>
          <w:sz w:val="20"/>
          <w:szCs w:val="20"/>
        </w:rPr>
        <w:t xml:space="preserve">Across a 12-month rolling window, VBX targets the following distribution of active task order engagements: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2200"/>
        <w:gridCol w:w="25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Tier</w:t>
            </w:r>
          </w:p>
        </w:tc>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Target Share</w:t>
            </w:r>
          </w:p>
        </w:tc>
        <w:tc>
          <w:tcPr>
            <w:tcW w:type="dxa" w:w="25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Rationale</w:t>
            </w:r>
          </w:p>
        </w:tc>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Escalation Trigger</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Tier A — Penetration</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 20% of active engagements</w:t>
            </w:r>
          </w:p>
        </w:tc>
        <w:tc>
          <w:tcPr>
            <w:tcW w:type="dxa" w:w="25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BD investment ceiling</w:t>
            </w:r>
          </w:p>
        </w:tc>
        <w:tc>
          <w:tcPr>
            <w:tcW w:type="dxa" w:w="22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&gt;25% = CEO review required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Tier B — Market-Rate</w:t>
            </w:r>
          </w:p>
        </w:tc>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50–70% of active engagements</w:t>
            </w:r>
          </w:p>
        </w:tc>
        <w:tc>
          <w:tcPr>
            <w:tcW w:type="dxa" w:w="25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Sustainable core business</w:t>
            </w:r>
          </w:p>
        </w:tc>
        <w:tc>
          <w:tcPr>
            <w:tcW w:type="dxa" w:w="22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&lt;40% = pipeline health review</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Tier C — Value-Premium</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20–35% of active engagements</w:t>
            </w:r>
          </w:p>
        </w:tc>
        <w:tc>
          <w:tcPr>
            <w:tcW w:type="dxa" w:w="25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Margin engine</w:t>
            </w:r>
          </w:p>
        </w:tc>
        <w:tc>
          <w:tcPr>
            <w:tcW w:type="dxa" w:w="22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&lt;15% = capability positioning gap</w:t>
            </w:r>
          </w:p>
        </w:tc>
      </w:tr>
    </w:tbl>
    <w:p>
      <w:pPr>
        <w:spacing w:after="200" w:before="80"/>
        <w:jc w:val="left"/>
      </w:pPr>
      <w:r>
        <w:rPr>
          <w:rFonts w:ascii="Arial" w:cs="Arial" w:eastAsia="Arial" w:hAnsi="Arial"/>
          <w:b w:val="false"/>
          <w:bCs w:val="false"/>
          <w:i/>
          <w:iCs/>
          <w:color w:val="595959"/>
          <w:sz w:val="20"/>
          <w:szCs w:val="20"/>
        </w:rPr>
        <w:t xml:space="preserve">A pipeline heavily weighted to Tier A signals VBX has failed to convert early wins to domain authority. A pipeline weighted to Tier C alone signals VBX is under-pursuing the broader TO field and leaving pipeline volume on the table. Balance is the target.</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4.  Bid Selection Matrix</w:t>
      </w:r>
    </w:p>
    <w:p>
      <w:pPr>
        <w:spacing w:after="100" w:before="80"/>
        <w:jc w:val="left"/>
      </w:pPr>
      <w:r>
        <w:rPr>
          <w:rFonts w:ascii="Arial" w:cs="Arial" w:eastAsia="Arial" w:hAnsi="Arial"/>
          <w:b w:val="false"/>
          <w:bCs w:val="false"/>
          <w:i w:val="false"/>
          <w:iCs w:val="false"/>
          <w:color w:val="000000"/>
          <w:sz w:val="20"/>
          <w:szCs w:val="20"/>
        </w:rPr>
        <w:t xml:space="preserve">Not every task order deserves a bid. VBX applies a 2×2 strategic-value × win-probability matrix to every TO within 48 hours of solicitation posting. Bid decisions are documented; no-bid decisions are documented.</w:t>
      </w:r>
    </w:p>
    <w:p>
      <w:pPr>
        <w:pStyle w:val="Heading2"/>
        <w:spacing w:after="100" w:before="220"/>
      </w:pPr>
      <w:r>
        <w:rPr>
          <w:rFonts w:ascii="Arial" w:cs="Arial" w:eastAsia="Arial" w:hAnsi="Arial"/>
          <w:b/>
          <w:bCs/>
          <w:color w:val="232D5A"/>
          <w:sz w:val="24"/>
          <w:szCs w:val="24"/>
        </w:rPr>
        <w:t xml:space="preserve">4.1  Strategic Value Scoring (1–10)</w:t>
      </w:r>
    </w:p>
    <w:p>
      <w:pPr>
        <w:spacing w:after="60" w:before="80"/>
        <w:jc w:val="left"/>
      </w:pPr>
      <w:r>
        <w:rPr>
          <w:rFonts w:ascii="Arial" w:cs="Arial" w:eastAsia="Arial" w:hAnsi="Arial"/>
          <w:b w:val="false"/>
          <w:bCs w:val="false"/>
          <w:i w:val="false"/>
          <w:iCs w:val="false"/>
          <w:color w:val="000000"/>
          <w:sz w:val="20"/>
          <w:szCs w:val="20"/>
        </w:rPr>
        <w:t xml:space="preserve">Score each TO on the following five factors, sum, divide by 5:</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3200"/>
        <w:gridCol w:w="56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3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Factor</w:t>
            </w:r>
          </w:p>
        </w:tc>
        <w:tc>
          <w:tcPr>
            <w:tcW w:type="dxa" w:w="5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Scoring</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Follow-on TO pipeline access</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1–10 based on likelihood that winning this TO opens the door to 2+ additional TOs from the same or adjacent agencies. Weight by 12-month projected pipeline value.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Public-sector past performance anchor</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1–10 based on whether the resulting PP entry meaningfully closes a gap in VBX's federal/SLED PP portfolio. Currently high-value: DPHHS-flavored, VA-analog, CMS-analog scope.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Agency relationship building</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1–10 based on strategic importance of the ordering agency to VBX's 3-year BD plan.</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Domain reference case value</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1–10 based on whether the deliverable establishes a marketable reference case (CAH transformation, rural health AI, Medicaid modernization).</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Cross-sell adjacency</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1–10 based on whether the TO scope opens cross-sell into companion agencies or scopes VBX is positioned to pursue.</w:t>
            </w:r>
          </w:p>
        </w:tc>
      </w:tr>
    </w:tbl>
    <w:p>
      <w:pPr>
        <w:pStyle w:val="Heading2"/>
        <w:spacing w:after="100" w:before="220"/>
      </w:pPr>
      <w:r>
        <w:rPr>
          <w:rFonts w:ascii="Arial" w:cs="Arial" w:eastAsia="Arial" w:hAnsi="Arial"/>
          <w:b/>
          <w:bCs/>
          <w:color w:val="232D5A"/>
          <w:sz w:val="24"/>
          <w:szCs w:val="24"/>
        </w:rPr>
        <w:t xml:space="preserve">4.2  Win Probability Scoring (1–10)</w:t>
      </w:r>
    </w:p>
    <w:p>
      <w:pPr>
        <w:spacing w:after="60" w:before="80"/>
        <w:jc w:val="left"/>
      </w:pPr>
      <w:r>
        <w:rPr>
          <w:rFonts w:ascii="Arial" w:cs="Arial" w:eastAsia="Arial" w:hAnsi="Arial"/>
          <w:b w:val="false"/>
          <w:bCs w:val="false"/>
          <w:i w:val="false"/>
          <w:iCs w:val="false"/>
          <w:color w:val="000000"/>
          <w:sz w:val="20"/>
          <w:szCs w:val="20"/>
        </w:rPr>
        <w:t xml:space="preserve">Score each TO on the following five factors, sum, divide by 5:</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3200"/>
        <w:gridCol w:w="56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3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Factor</w:t>
            </w:r>
          </w:p>
        </w:tc>
        <w:tc>
          <w:tcPr>
            <w:tcW w:type="dxa" w:w="5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Scoring</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Competitor set intensity</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10 if only 2–3 pool members likely to bid; score 1 if all 31 pool members likely to bid competitively. Verify against dual-track winner pool + Track 1 or Track 2 field as applicable.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Domain fit</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10 if TO scope maps directly to VBX healthcare/CAH/rural health domain depth; score 1 if TO scope is generic AI/IT with no VBX differentiation.</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Incumbent effects</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10 if no incumbent or incumbent is dissatisfied; score 1 if entrenched incumbent with recent successful delivery.</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Past performance relevance</w:t>
            </w:r>
          </w:p>
        </w:tc>
        <w:tc>
          <w:tcPr>
            <w:tcW w:type="dxa" w:w="56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10 if VBX has a direct-analog PP anchor (Kaiser/DHCS/HCPSS scope match); score 1 if PP is only tangentially relevant.</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Cost-competitiveness at chosen pricing tier</w:t>
            </w:r>
          </w:p>
        </w:tc>
        <w:tc>
          <w:tcPr>
            <w:tcW w:type="dxa" w:w="56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Score 10 if VBX pricing at chosen tier is expected to land within 25% of median bid; score 1 if pricing gap will exceed 100% of median.</w:t>
            </w:r>
          </w:p>
        </w:tc>
      </w:tr>
    </w:tbl>
    <w:p>
      <w:pPr>
        <w:pStyle w:val="Heading2"/>
        <w:spacing w:after="100" w:before="220"/>
      </w:pPr>
      <w:r>
        <w:rPr>
          <w:rFonts w:ascii="Arial" w:cs="Arial" w:eastAsia="Arial" w:hAnsi="Arial"/>
          <w:b/>
          <w:bCs/>
          <w:color w:val="232D5A"/>
          <w:sz w:val="24"/>
          <w:szCs w:val="24"/>
        </w:rPr>
        <w:t xml:space="preserve">4.3  Decision Matrix</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3510"/>
        <w:gridCol w:w="3510"/>
      </w:tblGrid>
      <w:tr>
        <w:tc>
          <w:tcPr>
            <w:tcW w:type="dxa" w:w="23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
            </w:r>
          </w:p>
        </w:tc>
        <w:tc>
          <w:tcPr>
            <w:tcW w:type="dxa" w:w="351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center"/>
            </w:pPr>
            <w:r>
              <w:rPr>
                <w:rFonts w:ascii="Arial" w:cs="Arial" w:eastAsia="Arial" w:hAnsi="Arial"/>
                <w:b/>
                <w:bCs/>
                <w:i w:val="false"/>
                <w:iCs w:val="false"/>
                <w:color w:val="FFFFFF"/>
                <w:sz w:val="18"/>
                <w:szCs w:val="18"/>
              </w:rPr>
              <w:t xml:space="preserve">Low WP  (&lt; 5.0)</w:t>
            </w:r>
          </w:p>
        </w:tc>
        <w:tc>
          <w:tcPr>
            <w:tcW w:type="dxa" w:w="351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center"/>
            </w:pPr>
            <w:r>
              <w:rPr>
                <w:rFonts w:ascii="Arial" w:cs="Arial" w:eastAsia="Arial" w:hAnsi="Arial"/>
                <w:b/>
                <w:bCs/>
                <w:i w:val="false"/>
                <w:iCs w:val="false"/>
                <w:color w:val="FFFFFF"/>
                <w:sz w:val="18"/>
                <w:szCs w:val="18"/>
              </w:rPr>
              <w:t xml:space="preserve">High WP  (≥ 5.0)</w:t>
            </w:r>
          </w:p>
        </w:tc>
      </w:tr>
      <w:tr>
        <w:tc>
          <w:tcPr>
            <w:tcW w:type="dxa" w:w="23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High SV (≥ 6.0)</w:t>
            </w:r>
          </w:p>
        </w:tc>
        <w:tc>
          <w:tcPr>
            <w:tcW w:type="dxa" w:w="351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r>
              <w:rPr>
                <w:rFonts w:ascii="Arial" w:cs="Arial" w:eastAsia="Arial" w:hAnsi="Arial"/>
                <w:b/>
                <w:bCs/>
                <w:color w:val="232D5A"/>
                <w:sz w:val="20"/>
                <w:szCs w:val="20"/>
              </w:rPr>
              <w:t xml:space="preserve">TIER A (Penetration)</w:t>
            </w:r>
          </w:p>
          <w:p>
            <w:r>
              <w:rPr>
                <w:rFonts w:ascii="Arial" w:cs="Arial" w:eastAsia="Arial" w:hAnsi="Arial"/>
                <w:sz w:val="18"/>
                <w:szCs w:val="18"/>
              </w:rPr>
              <w:t xml:space="preserve">Win is worth more than the margin. Aggressive pricing justified by strategic value. Requires CEO approval per Tier A guardrails.</w:t>
            </w:r>
          </w:p>
        </w:tc>
        <w:tc>
          <w:tcPr>
            <w:tcW w:type="dxa" w:w="351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r>
              <w:rPr>
                <w:rFonts w:ascii="Arial" w:cs="Arial" w:eastAsia="Arial" w:hAnsi="Arial"/>
                <w:b/>
                <w:bCs/>
                <w:color w:val="232D5A"/>
                <w:sz w:val="20"/>
                <w:szCs w:val="20"/>
              </w:rPr>
              <w:t xml:space="preserve">TIER B (Market-Rate)</w:t>
            </w:r>
          </w:p>
          <w:p>
            <w:r>
              <w:rPr>
                <w:rFonts w:ascii="Arial" w:cs="Arial" w:eastAsia="Arial" w:hAnsi="Arial"/>
                <w:sz w:val="18"/>
                <w:szCs w:val="18"/>
              </w:rPr>
              <w:t xml:space="preserve">Win expected. No reason to leave margin on the table. Standard pricing posture with competitive discipline.</w:t>
            </w:r>
          </w:p>
        </w:tc>
      </w:tr>
      <w:tr>
        <w:tc>
          <w:tcPr>
            <w:tcW w:type="dxa" w:w="23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Low SV (&lt; 6.0)</w:t>
            </w:r>
          </w:p>
        </w:tc>
        <w:tc>
          <w:tcPr>
            <w:tcW w:type="dxa" w:w="3510"/>
            <w:tcBorders>
              <w:top w:val="single" w:color="BFBFBF" w:sz="4"/>
              <w:start w:val="single" w:color="BFBFBF" w:sz="4"/>
              <w:bottom w:val="single" w:color="BFBFBF" w:sz="4"/>
              <w:end w:val="single" w:color="BFBFBF" w:sz="4"/>
            </w:tcBorders>
            <w:shd w:fill="FBE5E5" w:val="clear"/>
            <w:tcMar>
              <w:top w:type="dxa" w:w="100"/>
              <w:start w:type="dxa" w:w="120"/>
              <w:bottom w:type="dxa" w:w="100"/>
              <w:end w:type="dxa" w:w="120"/>
            </w:tcMar>
            <w:vAlign w:val="top"/>
          </w:tcPr>
          <w:p>
            <w:r>
              <w:rPr>
                <w:rFonts w:ascii="Arial" w:cs="Arial" w:eastAsia="Arial" w:hAnsi="Arial"/>
                <w:b/>
                <w:bCs/>
                <w:color w:val="B30000"/>
                <w:sz w:val="20"/>
                <w:szCs w:val="20"/>
              </w:rPr>
              <w:t xml:space="preserve">NO-BID</w:t>
            </w:r>
          </w:p>
          <w:p>
            <w:r>
              <w:rPr>
                <w:rFonts w:ascii="Arial" w:cs="Arial" w:eastAsia="Arial" w:hAnsi="Arial"/>
                <w:sz w:val="18"/>
                <w:szCs w:val="18"/>
              </w:rPr>
              <w:t xml:space="preserve">Losing effort with modest gain even if won. Document no-bid rationale, deploy capacity to higher-value pursuits.</w:t>
            </w:r>
          </w:p>
        </w:tc>
        <w:tc>
          <w:tcPr>
            <w:tcW w:type="dxa" w:w="3510"/>
            <w:tcBorders>
              <w:top w:val="single" w:color="BFBFBF" w:sz="4"/>
              <w:start w:val="single" w:color="BFBFBF" w:sz="4"/>
              <w:bottom w:val="single" w:color="BFBFBF" w:sz="4"/>
              <w:end w:val="single" w:color="BFBFBF" w:sz="4"/>
            </w:tcBorders>
            <w:shd w:fill="D9F0E0" w:val="clear"/>
            <w:tcMar>
              <w:top w:type="dxa" w:w="100"/>
              <w:start w:type="dxa" w:w="120"/>
              <w:bottom w:type="dxa" w:w="100"/>
              <w:end w:type="dxa" w:w="120"/>
            </w:tcMar>
            <w:vAlign w:val="top"/>
          </w:tcPr>
          <w:p>
            <w:r>
              <w:rPr>
                <w:rFonts w:ascii="Arial" w:cs="Arial" w:eastAsia="Arial" w:hAnsi="Arial"/>
                <w:b/>
                <w:bCs/>
                <w:color w:val="232D5A"/>
                <w:sz w:val="20"/>
                <w:szCs w:val="20"/>
              </w:rPr>
              <w:t xml:space="preserve">TIER B or TIER C</w:t>
            </w:r>
          </w:p>
          <w:p>
            <w:r>
              <w:rPr>
                <w:rFonts w:ascii="Arial" w:cs="Arial" w:eastAsia="Arial" w:hAnsi="Arial"/>
                <w:sz w:val="18"/>
                <w:szCs w:val="18"/>
              </w:rPr>
              <w:t xml:space="preserve">Bid selectively. Capture margin. Tier C if VBX has domain authority on the scope; Tier B otherwise.</w:t>
            </w:r>
          </w:p>
        </w:tc>
      </w:tr>
    </w:tbl>
    <w:p>
      <w:pPr>
        <w:pStyle w:val="Heading2"/>
        <w:spacing w:after="100" w:before="220"/>
      </w:pPr>
      <w:r>
        <w:rPr>
          <w:rFonts w:ascii="Arial" w:cs="Arial" w:eastAsia="Arial" w:hAnsi="Arial"/>
          <w:b/>
          <w:bCs/>
          <w:color w:val="232D5A"/>
          <w:sz w:val="24"/>
          <w:szCs w:val="24"/>
        </w:rPr>
        <w:t xml:space="preserve">4.4  No-Bid is a Valid Strategy</w:t>
      </w:r>
    </w:p>
    <w:p>
      <w:pPr>
        <w:spacing w:after="200" w:before="80"/>
        <w:jc w:val="left"/>
      </w:pPr>
      <w:r>
        <w:rPr>
          <w:rFonts w:ascii="Arial" w:cs="Arial" w:eastAsia="Arial" w:hAnsi="Arial"/>
          <w:b w:val="false"/>
          <w:bCs w:val="false"/>
          <w:i w:val="false"/>
          <w:iCs w:val="false"/>
          <w:color w:val="000000"/>
          <w:sz w:val="20"/>
          <w:szCs w:val="20"/>
        </w:rPr>
        <w:t xml:space="preserve">VBX cannot bid every task order in a 31-vendor pool. Bidding losing TOs at penetration prices burns capital without building track record. Every no-bid decision is documented with the SV/WP scoring rationale and archived in the BD Command Center. Post-award review checks whether the no-bid was correct or whether VBX left a winnable TO on the table.</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5.  Cost Lever Catalog</w:t>
      </w:r>
    </w:p>
    <w:p>
      <w:pPr>
        <w:spacing w:after="100" w:before="80"/>
        <w:jc w:val="left"/>
      </w:pPr>
      <w:r>
        <w:rPr>
          <w:rFonts w:ascii="Arial" w:cs="Arial" w:eastAsia="Arial" w:hAnsi="Arial"/>
          <w:b w:val="false"/>
          <w:bCs w:val="false"/>
          <w:i w:val="false"/>
          <w:iCs w:val="false"/>
          <w:color w:val="000000"/>
          <w:sz w:val="20"/>
          <w:szCs w:val="20"/>
        </w:rPr>
        <w:t xml:space="preserve">Pricing tier changes the price VBX offers. Cost levers change the underlying delivery cost so those prices are sustainable. This section catalogs the structural levers VBX operates and tracks their implementation status.</w:t>
      </w:r>
    </w:p>
    <w:p>
      <w:pPr>
        <w:spacing w:after="100" w:before="80"/>
        <w:jc w:val="left"/>
      </w:pPr>
      <w:r>
        <w:rPr>
          <w:rFonts w:ascii="Arial" w:cs="Arial" w:eastAsia="Arial" w:hAnsi="Arial"/>
          <w:b w:val="false"/>
          <w:bCs w:val="false"/>
          <w:i/>
          <w:iCs/>
          <w:color w:val="996600"/>
          <w:sz w:val="20"/>
          <w:szCs w:val="20"/>
        </w:rPr>
        <w:t xml:space="preserve">BENCH NARROWING NOTE (as of 6/29/26): Tony Paul (former CISO) and Saravanan Swaminathan (former Sr. Solution Architect) are assigned to other projects. Montana delivery bench is Akil / AJ / Khaalis. Cyber-scope task orders require external cyber partner engagement — not optional. Delivery lead on healthcare/data-heavy scope is Akil or AJ; historical named-lead references (e.g., Saravanan for MITA) reframe as VBX corporate past performance.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2400"/>
        <w:gridCol w:w="4400"/>
        <w:gridCol w:w="1000"/>
        <w:gridCol w:w="10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Lever</w:t>
            </w:r>
          </w:p>
        </w:tc>
        <w:tc>
          <w:tcPr>
            <w:tcW w:type="dxa" w:w="4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Mechanism + Expected Impact</w:t>
            </w:r>
          </w:p>
        </w:tc>
        <w:tc>
          <w:tcPr>
            <w:tcW w:type="dxa" w:w="1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Owner</w:t>
            </w:r>
          </w:p>
        </w:tc>
        <w:tc>
          <w:tcPr>
            <w:tcW w:type="dxa" w:w="10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Status</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Reusable IP components</w:t>
            </w:r>
          </w:p>
        </w:tc>
        <w:tc>
          <w:tcPr>
            <w:tcW w:type="dxa" w:w="4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Every TO delivery produces artifacts — code, templates, playbooks, architecture patterns. Systematized reuse across TOs is the single biggest lever. Target: 30% reuse by TO #4 in any given domain; frees ~$150K margin on a $500K TO.</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AJ</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Baseline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CAH framework productization</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Turn the CAHSP framework and CMS HCRIS methodology into a delivery accelerator (documented framework + assessment tools + reference architectures + boilerplate SOW modules). Converts custom delivery into framework-anchored delivery with lower marginal hours. Target: 25% delivery cost reduction on CAH-scope TOs.</w:t>
            </w:r>
          </w:p>
        </w:tc>
        <w:tc>
          <w:tcPr>
            <w:tcW w:type="dxa" w:w="1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Akil</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 started</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Delivery automation</w:t>
            </w:r>
          </w:p>
        </w:tc>
        <w:tc>
          <w:tcPr>
            <w:tcW w:type="dxa" w:w="4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Every SOP, runbook, code review checklist, deployment pipeline automated once and reused across TOs reduces per-TO cost. Investment now, dividend on every future TO. Target: automate the 20 most common delivery activities by end of first Montana TO.</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AJ (delivery automation lead)</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 started</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US-domestic nearshore</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Puerto Rico, Guam, USVI are within US legal jurisdictional boundary per Exhibit C §1e. Puerto Rico labor rates 30–40% below mainland for equivalent roles. Small lever, MT-compliant. Requires HR structure to support and verified US-only compliance.</w:t>
            </w:r>
          </w:p>
        </w:tc>
        <w:tc>
          <w:tcPr>
            <w:tcW w:type="dxa" w:w="1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Akil / External cyber partner</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 evaluated</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Standardized proposal generation</w:t>
            </w:r>
          </w:p>
        </w:tc>
        <w:tc>
          <w:tcPr>
            <w:tcW w:type="dxa" w:w="4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Every TO bid consumes hours in proposal writing. Templated proposal modules (per Montana score-improvement backlog) cut proposal costs so aggressive-price bids don't self-destruct on preparation overhead. Target: 60% of TO proposal content reused across bids by TO #6.</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Khaalis</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In progress</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6</w:t>
            </w:r>
          </w:p>
        </w:tc>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Partner-priced cyber lanes</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Where a TO needs cyber sub work, letting the sub carry more scope at their lower cost structure (rather than VBX absorbing it as above-cost pass-through) preserves total-bid competitiveness. Match sub to TO scope per cyber partner selection grid.</w:t>
            </w:r>
          </w:p>
        </w:tc>
        <w:tc>
          <w:tcPr>
            <w:tcW w:type="dxa" w:w="1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Khaalis / External cyber partner</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Framework exists</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7</w:t>
            </w:r>
          </w:p>
        </w:tc>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Fixed-price productized offerings</w:t>
            </w:r>
          </w:p>
        </w:tc>
        <w:tc>
          <w:tcPr>
            <w:tcW w:type="dxa" w:w="4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For repeatable scopes (CAH readiness assessment, HL7 integration accelerator, patient portal starter kit), price as fixed-price productized offerings rather than T&amp;M custom. Margin higher when delivery cost is predictable.</w:t>
            </w:r>
          </w:p>
        </w:tc>
        <w:tc>
          <w:tcPr>
            <w:tcW w:type="dxa" w:w="10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Akil</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 started</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8</w:t>
            </w:r>
          </w:p>
        </w:tc>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Pre-solicitation engagement</w:t>
            </w:r>
          </w:p>
        </w:tc>
        <w:tc>
          <w:tcPr>
            <w:tcW w:type="dxa" w:w="4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Legitimate practice: build agency relationships early enough to influence TO evaluation criteria toward value-based scoring rather than pure inverse-ratio cost scoring. Requires Play A sub-$100K direct relationship work to be in motion. Not a delivery-cost lever but a cost-scoring-impact lever.</w:t>
            </w:r>
          </w:p>
        </w:tc>
        <w:tc>
          <w:tcPr>
            <w:tcW w:type="dxa" w:w="10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Khaalis</w:t>
            </w:r>
          </w:p>
        </w:tc>
        <w:tc>
          <w:tcPr>
            <w:tcW w:type="dxa" w:w="10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Not started</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6.  Value Differentiation Library</w:t>
      </w:r>
    </w:p>
    <w:p>
      <w:pPr>
        <w:spacing w:after="100" w:before="80"/>
        <w:jc w:val="left"/>
      </w:pPr>
      <w:r>
        <w:rPr>
          <w:rFonts w:ascii="Arial" w:cs="Arial" w:eastAsia="Arial" w:hAnsi="Arial"/>
          <w:b w:val="false"/>
          <w:bCs w:val="false"/>
          <w:i w:val="false"/>
          <w:iCs w:val="false"/>
          <w:color w:val="000000"/>
          <w:sz w:val="20"/>
          <w:szCs w:val="20"/>
        </w:rPr>
        <w:t xml:space="preserve">When Tier C pricing is chosen, the technical narrative must carry the cost premium. The evaluator has to see specific, quantifiable justification for VBX being worth 130% of the median. This section catalogs the reusable value narrative modules organized by domain.</w:t>
      </w:r>
    </w:p>
    <w:p>
      <w:pPr>
        <w:pStyle w:val="Heading2"/>
        <w:spacing w:after="100" w:before="220"/>
      </w:pPr>
      <w:r>
        <w:rPr>
          <w:rFonts w:ascii="Arial" w:cs="Arial" w:eastAsia="Arial" w:hAnsi="Arial"/>
          <w:b/>
          <w:bCs/>
          <w:color w:val="232D5A"/>
          <w:sz w:val="24"/>
          <w:szCs w:val="24"/>
        </w:rPr>
        <w:t xml:space="preserve">6.1  Healthcare IT — General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Anchor PP</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Kaiser Permanente VCare Portal — $1.2M contract, Epic/HL7/Cures Act integration, 100K+ daily users, 99.8% SLA over 24 months. Federal-analog for any patient-facing portal, EHR integration, or citizen-facing health workflow.</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Technical Edge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Direct HL7 v2 + FHIR R4 delivery experience. USCDI-aligned data models. 21st Century Cures Act compliance patterns. Epic-adjacent integration depth.</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Compliance Depth</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HIPAA-native delivery discipline. NIST 800-53 Moderate control mapping. SOC 2 Type II readiness in progress via TES advisory. External cyber partner engaged per TO for CISO-caliber security leadership (partner selected from TO-dependent grid).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Premium Justification</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Reduced delivery risk (99.8% SLA history). Faster time-to-value (direct patterns from Kaiser build). Compliance depth reduces audit and remediation surprise.</w:t>
            </w:r>
          </w:p>
        </w:tc>
      </w:tr>
    </w:tbl>
    <w:p>
      <w:pPr>
        <w:pStyle w:val="Heading2"/>
        <w:spacing w:after="100" w:before="220"/>
      </w:pPr>
      <w:r>
        <w:rPr>
          <w:rFonts w:ascii="Arial" w:cs="Arial" w:eastAsia="Arial" w:hAnsi="Arial"/>
          <w:b/>
          <w:bCs/>
          <w:color w:val="232D5A"/>
          <w:sz w:val="24"/>
          <w:szCs w:val="24"/>
        </w:rPr>
        <w:t xml:space="preserve">6.2  Medicaid Modernization / Document Workflow</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Anchor PP</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California DHCS CFRS — $2.1M contract, MITA-compliant, 96% OCR accuracy, 60% labor reduction. Federal-analog for any state Medicaid, HRSA, or CMS scope involving document intake, OCR, or workflow automation.</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Technical Edge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Production MITA implementation. Machine-learning-enhanced OCR at 96% accuracy on production traffic. Human-in-the-loop workflow design with measurable labor reduction.</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Delivery Lead</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VBX corporate past performance on CA DHCS MITA delivery is company-level PP; delivery lead for Montana engagements is named at TO bid from available bench (Akil or AJ, augmented by external partners as scope requires).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Premium Justification</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Quantified labor reduction (60%) supports measurable ROI narrative. MITA compliance already implemented and proven at scale. VBX corporate past performance is direct-analog.</w:t>
            </w:r>
          </w:p>
        </w:tc>
      </w:tr>
    </w:tbl>
    <w:p>
      <w:pPr>
        <w:pStyle w:val="Heading2"/>
        <w:spacing w:after="100" w:before="220"/>
      </w:pPr>
      <w:r>
        <w:rPr>
          <w:rFonts w:ascii="Arial" w:cs="Arial" w:eastAsia="Arial" w:hAnsi="Arial"/>
          <w:b/>
          <w:bCs/>
          <w:color w:val="232D5A"/>
          <w:sz w:val="24"/>
          <w:szCs w:val="24"/>
        </w:rPr>
        <w:t xml:space="preserve">6.3  CAH / Rural Health</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Anchor Positioning</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Proprietary CAH transformation framework, informed by CMS HCRIS-grounded benchmarking methodology. Domain research credibility via SSRN publications (5573278 GRHD, 5579071 ARIS-2025). External language only: never name CAHSP or GRHD externally until IP cleared.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Technical Edge</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Delivery framework specific to CAH operational realities — small-hospital staffing, limited IT capacity, HRSA / USDA Rural / state DOH funding contexts. Not adapted from urban integrator playbook — designed CAH-first.</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Competitive Moat</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Cetrix, 22nd Century, OpenTeams, Agentic are AI-first generalists — not healthcare specialists, not CAH specialists. Deloitte / IBM / HPE will not aggressively pursue sub-$500K rural health TOs. VBX has uncontested competitive positioning at this scope.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Premium Justification</w:t>
            </w:r>
          </w:p>
        </w:tc>
        <w:tc>
          <w:tcPr>
            <w:tcW w:type="dxa" w:w="69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Domain framework accelerates delivery. Published research demonstrates authority. Uncontested competitive positioning at CAH-scope TOs supports premium pricing without meaningful risk of losing to lower-priced generalist bid.</w:t>
            </w:r>
          </w:p>
        </w:tc>
      </w:tr>
    </w:tbl>
    <w:p>
      <w:pPr>
        <w:pStyle w:val="Heading2"/>
        <w:spacing w:after="100" w:before="220"/>
      </w:pPr>
      <w:r>
        <w:rPr>
          <w:rFonts w:ascii="Arial" w:cs="Arial" w:eastAsia="Arial" w:hAnsi="Arial"/>
          <w:b/>
          <w:bCs/>
          <w:color w:val="232D5A"/>
          <w:sz w:val="24"/>
          <w:szCs w:val="24"/>
        </w:rPr>
        <w:t xml:space="preserve">6.4  Generic AI / IT (Non-Domain-Anchored)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Positioning</w:t>
            </w:r>
          </w:p>
        </w:tc>
        <w:tc>
          <w:tcPr>
            <w:tcW w:type="dxa" w:w="696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Small business with named accessible delivery team. Faster time-to-stand-up (2-month full implementation per Montana evaluator). Not a Tier-1 integrator with delegated delivery.</w:t>
            </w:r>
          </w:p>
        </w:tc>
      </w:tr>
      <w:tr>
        <w:tc>
          <w:tcPr>
            <w:tcW w:type="dxa" w:w="24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Competitive Reality</w:t>
            </w:r>
          </w:p>
        </w:tc>
        <w:tc>
          <w:tcPr>
            <w:tcW w:type="dxa" w:w="696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Contested space. Competing against 20+ pool members including well-funded AI specialists (22nd Century, OpenTeams, Agentic, ThinkDeeply). Tier C pricing rarely appropriate on this scope.</w:t>
            </w:r>
          </w:p>
        </w:tc>
      </w:tr>
      <w:tr>
        <w:tc>
          <w:tcPr>
            <w:tcW w:type="dxa" w:w="240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Default Tier</w:t>
            </w:r>
          </w:p>
        </w:tc>
        <w:tc>
          <w:tcPr>
            <w:tcW w:type="dxa" w:w="6960"/>
            <w:tcBorders>
              <w:top w:val="single" w:color="BFBFBF" w:sz="4"/>
              <w:start w:val="single" w:color="BFBFBF" w:sz="4"/>
              <w:bottom w:val="single" w:color="BFBFBF" w:sz="4"/>
              <w:end w:val="single" w:color="BFBFBF" w:sz="4"/>
            </w:tcBorders>
            <w:shd w:fill="FFF4D6"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Tier B on domain-adjacent scope. Tier A on first TO from a strategically valuable agency. No-bid if SV × WP falls in low-value quadrant.</w:t>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7.  Per-TO Pricing Worksheet</w:t>
      </w:r>
    </w:p>
    <w:p>
      <w:pPr>
        <w:spacing w:after="100" w:before="80"/>
        <w:jc w:val="left"/>
      </w:pPr>
      <w:r>
        <w:rPr>
          <w:rFonts w:ascii="Arial" w:cs="Arial" w:eastAsia="Arial" w:hAnsi="Arial"/>
          <w:b w:val="false"/>
          <w:bCs w:val="false"/>
          <w:i/>
          <w:iCs/>
          <w:color w:val="595959"/>
          <w:sz w:val="20"/>
          <w:szCs w:val="20"/>
        </w:rPr>
        <w:t xml:space="preserve">Populated at bid-decision stage for every task order VBX evaluates. Duplicate this section per TO. Archive completed worksheets in the BD Command Center.</w:t>
      </w:r>
    </w:p>
    <w:p>
      <w:pPr>
        <w:spacing w:after="80" w:before="160"/>
      </w:pPr>
      <w:r>
        <w:rPr>
          <w:rFonts w:ascii="Arial" w:cs="Arial" w:eastAsia="Arial" w:hAnsi="Arial"/>
          <w:b/>
          <w:bCs/>
          <w:color w:val="2EA891"/>
          <w:sz w:val="22"/>
          <w:szCs w:val="22"/>
        </w:rPr>
        <w:t xml:space="preserve">7.1  TO Identity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TO Number / Title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Enter TO number and title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Ordering Agency</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Enter agency</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Master Vehicle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e.g., Montana Master AI Products &amp; Services (SPB-RFP-2026-0608GW)</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Estimated TO Value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to $Y range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Tier (per Contract Base §3)</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Tier 1 / Tier 2 / Tier 3</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Submission Deadline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r>
    </w:tbl>
    <w:p>
      <w:pPr>
        <w:spacing w:after="80" w:before="160"/>
      </w:pPr>
      <w:r>
        <w:rPr>
          <w:rFonts w:ascii="Arial" w:cs="Arial" w:eastAsia="Arial" w:hAnsi="Arial"/>
          <w:b/>
          <w:bCs/>
          <w:color w:val="2EA891"/>
          <w:sz w:val="22"/>
          <w:szCs w:val="22"/>
        </w:rPr>
        <w:t xml:space="preserve">7.2  Strategic Value Score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3200"/>
        <w:gridCol w:w="1000"/>
        <w:gridCol w:w="46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3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Factor</w:t>
            </w:r>
          </w:p>
        </w:tc>
        <w:tc>
          <w:tcPr>
            <w:tcW w:type="dxa" w:w="1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Score 1–10</w:t>
            </w:r>
          </w:p>
        </w:tc>
        <w:tc>
          <w:tcPr>
            <w:tcW w:type="dxa" w:w="4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Rationale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Follow-on TO pipeline access</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Public-sector PP anchor</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Agency relationship building</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Domain reference case value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Cross-sell adjacency</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37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SV Total ÷ 5 =</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N.N</w:t>
            </w:r>
          </w:p>
        </w:tc>
        <w:tc>
          <w:tcPr>
            <w:tcW w:type="dxa" w:w="4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SV Category:  ≥6 High  |  &lt;6 Low</w:t>
            </w:r>
          </w:p>
        </w:tc>
      </w:tr>
    </w:tbl>
    <w:p>
      <w:pPr>
        <w:spacing w:after="80" w:before="160"/>
      </w:pPr>
      <w:r>
        <w:rPr>
          <w:rFonts w:ascii="Arial" w:cs="Arial" w:eastAsia="Arial" w:hAnsi="Arial"/>
          <w:b/>
          <w:bCs/>
          <w:color w:val="2EA891"/>
          <w:sz w:val="22"/>
          <w:szCs w:val="22"/>
        </w:rPr>
        <w:t xml:space="preserve">7.3  Win Probability Score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500"/>
        <w:gridCol w:w="3200"/>
        <w:gridCol w:w="1000"/>
        <w:gridCol w:w="4660"/>
      </w:tblGrid>
      <w:tr>
        <w:tc>
          <w:tcPr>
            <w:tcW w:type="dxa" w:w="5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w:t>
            </w:r>
          </w:p>
        </w:tc>
        <w:tc>
          <w:tcPr>
            <w:tcW w:type="dxa" w:w="3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Factor</w:t>
            </w:r>
          </w:p>
        </w:tc>
        <w:tc>
          <w:tcPr>
            <w:tcW w:type="dxa" w:w="10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Score 1–10</w:t>
            </w:r>
          </w:p>
        </w:tc>
        <w:tc>
          <w:tcPr>
            <w:tcW w:type="dxa" w:w="4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Rationale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1</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Competitor set intensity</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2</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Domain fit</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3</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Incumbent effects</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4</w:t>
            </w:r>
          </w:p>
        </w:tc>
        <w:tc>
          <w:tcPr>
            <w:tcW w:type="dxa" w:w="3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Past performance relevance</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5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bCs/>
                <w:i w:val="false"/>
                <w:iCs w:val="false"/>
                <w:color w:val="000000"/>
                <w:sz w:val="18"/>
                <w:szCs w:val="18"/>
              </w:rPr>
              <w:t xml:space="preserve">5</w:t>
            </w:r>
          </w:p>
        </w:tc>
        <w:tc>
          <w:tcPr>
            <w:tcW w:type="dxa" w:w="3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Cost-competitiveness at chosen tier</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w:t>
            </w:r>
          </w:p>
        </w:tc>
        <w:tc>
          <w:tcPr>
            <w:tcW w:type="dxa" w:w="46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Why this score</w:t>
            </w:r>
          </w:p>
        </w:tc>
      </w:tr>
      <w:tr>
        <w:tc>
          <w:tcPr>
            <w:tcW w:type="dxa" w:w="37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WP Total ÷ 5 =</w:t>
            </w:r>
          </w:p>
        </w:tc>
        <w:tc>
          <w:tcPr>
            <w:tcW w:type="dxa" w:w="10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N.N</w:t>
            </w:r>
          </w:p>
        </w:tc>
        <w:tc>
          <w:tcPr>
            <w:tcW w:type="dxa" w:w="46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8"/>
                <w:szCs w:val="18"/>
              </w:rPr>
              <w:t xml:space="preserve">WP Category:  ≥5 High  |  &lt;5 Low</w:t>
            </w:r>
          </w:p>
        </w:tc>
      </w:tr>
    </w:tbl>
    <w:p>
      <w:pPr>
        <w:spacing w:after="80" w:before="160"/>
      </w:pPr>
      <w:r>
        <w:rPr>
          <w:rFonts w:ascii="Arial" w:cs="Arial" w:eastAsia="Arial" w:hAnsi="Arial"/>
          <w:b/>
          <w:bCs/>
          <w:color w:val="2EA891"/>
          <w:sz w:val="22"/>
          <w:szCs w:val="22"/>
        </w:rPr>
        <w:t xml:space="preserve">7.4  Tier Selection &amp; Pricing</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Matrix Cell (SV × WP)</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High/High, High/Low, Low/High, Low/Low</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Selected Tier</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Tier A / Tier B / Tier C / NO-BID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Target Margin</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(within tier range)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Estimated Median Bid</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 with competitor intel source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VBX Proposed Bid</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 target price and rationale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Predicted Cost Score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(Est. lowest bid ÷ VBX bid) × cost points</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Required Tech Merit Lift</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Points needed to overcome cost gap</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Value Narrative Module(s)</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Reference §6 modules to be applied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Cost Levers Applied</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Which §5 levers reduce delivery cost for this TO</w:t>
            </w:r>
          </w:p>
        </w:tc>
      </w:tr>
    </w:tbl>
    <w:p>
      <w:pPr>
        <w:spacing w:after="80" w:before="160"/>
      </w:pPr>
      <w:r>
        <w:rPr>
          <w:rFonts w:ascii="Arial" w:cs="Arial" w:eastAsia="Arial" w:hAnsi="Arial"/>
          <w:b/>
          <w:bCs/>
          <w:color w:val="2EA891"/>
          <w:sz w:val="22"/>
          <w:szCs w:val="22"/>
        </w:rPr>
        <w:t xml:space="preserve">7.5  Cyber Partner Selection</w:t>
      </w:r>
    </w:p>
    <w:p>
      <w:pPr>
        <w:spacing w:after="60" w:before="80"/>
        <w:jc w:val="left"/>
      </w:pPr>
      <w:r>
        <w:rPr>
          <w:rFonts w:ascii="Arial" w:cs="Arial" w:eastAsia="Arial" w:hAnsi="Arial"/>
          <w:b w:val="false"/>
          <w:bCs w:val="false"/>
          <w:i w:val="false"/>
          <w:iCs w:val="false"/>
          <w:color w:val="000000"/>
          <w:sz w:val="20"/>
          <w:szCs w:val="20"/>
        </w:rPr>
        <w:t xml:space="preserve">If a cyber partner is required for this TO, document the selection here per the TO-dependent partner grid.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Cyber Partner Needed?</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Yes / No</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Selected Partner</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TES / ISG / Proksi / NetSecurely / AG Grace / DataCom / other. NOTE: Tony Paul (internal CISO) is currently unavailable — assigned to other projects. External cyber partner selection is mandatory on any Montana TO requiring named CISO-caliber security leadership.</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Selection Rationale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Match to TO scope: PHI-healthcare / CMMC / AI governance / HACS / VA-DoD / SDVOSB-CMMC / GSA MAS bridge</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Partner Pricing Contribution</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of bid attributable to partner scope</w:t>
            </w:r>
          </w:p>
        </w:tc>
      </w:tr>
    </w:tbl>
    <w:p>
      <w:pPr>
        <w:spacing w:after="80" w:before="160"/>
      </w:pPr>
      <w:r>
        <w:rPr>
          <w:rFonts w:ascii="Arial" w:cs="Arial" w:eastAsia="Arial" w:hAnsi="Arial"/>
          <w:b/>
          <w:bCs/>
          <w:color w:val="2EA891"/>
          <w:sz w:val="22"/>
          <w:szCs w:val="22"/>
        </w:rPr>
        <w:t xml:space="preserve">7.6  Approval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3480"/>
        <w:gridCol w:w="1440"/>
        <w:gridCol w:w="204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Role</w:t>
            </w:r>
          </w:p>
        </w:tc>
        <w:tc>
          <w:tcPr>
            <w:tcW w:type="dxa" w:w="348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Name</w:t>
            </w:r>
          </w:p>
        </w:tc>
        <w:tc>
          <w:tcPr>
            <w:tcW w:type="dxa" w:w="14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204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Signature</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Compliance Officer</w:t>
            </w:r>
          </w:p>
        </w:tc>
        <w:tc>
          <w:tcPr>
            <w:tcW w:type="dxa" w:w="348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Khaalis Wooden, MBA</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CEO Approval</w:t>
            </w:r>
          </w:p>
        </w:tc>
        <w:tc>
          <w:tcPr>
            <w:tcW w:type="dxa" w:w="348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Akil R. Chellam</w:t>
            </w:r>
          </w:p>
        </w:tc>
        <w:tc>
          <w:tcPr>
            <w:tcW w:type="dxa" w:w="14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MM/DD/YYYY</w:t>
            </w:r>
          </w:p>
        </w:tc>
        <w:tc>
          <w:tcPr>
            <w:tcW w:type="dxa" w:w="204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
            </w:r>
          </w:p>
        </w:tc>
      </w:tr>
    </w:tbl>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8.  Post-Bid Learning Capture</w:t>
      </w:r>
    </w:p>
    <w:p>
      <w:pPr>
        <w:spacing w:after="100" w:before="80"/>
        <w:jc w:val="left"/>
      </w:pPr>
      <w:r>
        <w:rPr>
          <w:rFonts w:ascii="Arial" w:cs="Arial" w:eastAsia="Arial" w:hAnsi="Arial"/>
          <w:b w:val="false"/>
          <w:bCs w:val="false"/>
          <w:i w:val="false"/>
          <w:iCs w:val="false"/>
          <w:color w:val="000000"/>
          <w:sz w:val="20"/>
          <w:szCs w:val="20"/>
        </w:rPr>
        <w:t xml:space="preserve">Every bid produces intelligence — win or lose. Capture systematically. Feed forward into subsequent bid decisions.</w:t>
      </w:r>
    </w:p>
    <w:p>
      <w:pPr>
        <w:pStyle w:val="Heading2"/>
        <w:spacing w:after="100" w:before="220"/>
      </w:pPr>
      <w:r>
        <w:rPr>
          <w:rFonts w:ascii="Arial" w:cs="Arial" w:eastAsia="Arial" w:hAnsi="Arial"/>
          <w:b/>
          <w:bCs/>
          <w:color w:val="232D5A"/>
          <w:sz w:val="24"/>
          <w:szCs w:val="24"/>
        </w:rPr>
        <w:t xml:space="preserve">8.1  For Every Completed Bid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TO Reference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TO number, title, agency</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Outcome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Win / Lose / Withdrawn / No-Bid Executed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VBX Bid Price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Winning Bid Price (if known)</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 source of intel</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VBX Rank in Pool</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 of 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VBX Cost Score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 of 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VBX Technical Score</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N of 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Evaluator Feedback (verbatim)</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Quote directly from debrief or scoring matrix</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What worked</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Free-form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What didn't work</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Free-form</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Was tier selection correct in hindsight?</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Yes / No / Would have chosen ___ instead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SV / WP Retrospective Correction</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Post-award, do the SV and WP scores hold up?</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Feed-Forward Actions</w:t>
            </w:r>
          </w:p>
        </w:tc>
        <w:tc>
          <w:tcPr>
            <w:tcW w:type="dxa" w:w="69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Specific changes to make for the next similar TO</w:t>
            </w:r>
          </w:p>
        </w:tc>
      </w:tr>
    </w:tbl>
    <w:p>
      <w:pPr>
        <w:pStyle w:val="Heading2"/>
        <w:spacing w:after="100" w:before="220"/>
      </w:pPr>
      <w:r>
        <w:rPr>
          <w:rFonts w:ascii="Arial" w:cs="Arial" w:eastAsia="Arial" w:hAnsi="Arial"/>
          <w:b/>
          <w:bCs/>
          <w:color w:val="232D5A"/>
          <w:sz w:val="24"/>
          <w:szCs w:val="24"/>
        </w:rPr>
        <w:t xml:space="preserve">8.2  Quarterly Roll-Up</w:t>
      </w:r>
    </w:p>
    <w:p>
      <w:pPr>
        <w:spacing w:after="40" w:before="80"/>
        <w:jc w:val="left"/>
      </w:pPr>
      <w:r>
        <w:rPr>
          <w:rFonts w:ascii="Arial" w:cs="Arial" w:eastAsia="Arial" w:hAnsi="Arial"/>
          <w:b w:val="false"/>
          <w:bCs w:val="false"/>
          <w:i w:val="false"/>
          <w:iCs w:val="false"/>
          <w:color w:val="000000"/>
          <w:sz w:val="20"/>
          <w:szCs w:val="20"/>
        </w:rPr>
        <w:t xml:space="preserve">Every quarter, Compliance Officer aggregates the per-TO learning captures and updates:</w:t>
      </w:r>
    </w:p>
    <w:p>
      <w:pPr>
        <w:spacing w:after="40" w:before="80"/>
        <w:jc w:val="left"/>
      </w:pPr>
      <w:r>
        <w:rPr>
          <w:rFonts w:ascii="Arial" w:cs="Arial" w:eastAsia="Arial" w:hAnsi="Arial"/>
          <w:b w:val="false"/>
          <w:bCs w:val="false"/>
          <w:i w:val="false"/>
          <w:iCs w:val="false"/>
          <w:color w:val="000000"/>
          <w:sz w:val="20"/>
          <w:szCs w:val="20"/>
        </w:rPr>
        <w:t xml:space="preserve">• Tier distribution actuals vs. target (§3.4)</w:t>
      </w:r>
    </w:p>
    <w:p>
      <w:pPr>
        <w:spacing w:after="40" w:before="80"/>
        <w:jc w:val="left"/>
      </w:pPr>
      <w:r>
        <w:rPr>
          <w:rFonts w:ascii="Arial" w:cs="Arial" w:eastAsia="Arial" w:hAnsi="Arial"/>
          <w:b w:val="false"/>
          <w:bCs w:val="false"/>
          <w:i w:val="false"/>
          <w:iCs w:val="false"/>
          <w:color w:val="000000"/>
          <w:sz w:val="20"/>
          <w:szCs w:val="20"/>
        </w:rPr>
        <w:t xml:space="preserve">• Median win/loss bid gap by tier and by domain</w:t>
      </w:r>
    </w:p>
    <w:p>
      <w:pPr>
        <w:spacing w:after="40" w:before="80"/>
        <w:jc w:val="left"/>
      </w:pPr>
      <w:r>
        <w:rPr>
          <w:rFonts w:ascii="Arial" w:cs="Arial" w:eastAsia="Arial" w:hAnsi="Arial"/>
          <w:b w:val="false"/>
          <w:bCs w:val="false"/>
          <w:i w:val="false"/>
          <w:iCs w:val="false"/>
          <w:color w:val="000000"/>
          <w:sz w:val="20"/>
          <w:szCs w:val="20"/>
        </w:rPr>
        <w:t xml:space="preserve">• Effectiveness of cost levers (are they actually reducing delivery cost?)</w:t>
      </w:r>
    </w:p>
    <w:p>
      <w:pPr>
        <w:spacing w:after="40" w:before="80"/>
        <w:jc w:val="left"/>
      </w:pPr>
      <w:r>
        <w:rPr>
          <w:rFonts w:ascii="Arial" w:cs="Arial" w:eastAsia="Arial" w:hAnsi="Arial"/>
          <w:b w:val="false"/>
          <w:bCs w:val="false"/>
          <w:i w:val="false"/>
          <w:iCs w:val="false"/>
          <w:color w:val="000000"/>
          <w:sz w:val="20"/>
          <w:szCs w:val="20"/>
        </w:rPr>
        <w:t xml:space="preserve">• Effectiveness of value narrative modules (which modules correlate with wins?)</w:t>
      </w:r>
    </w:p>
    <w:p>
      <w:pPr>
        <w:spacing w:after="40" w:before="80"/>
        <w:jc w:val="left"/>
      </w:pPr>
      <w:r>
        <w:rPr>
          <w:rFonts w:ascii="Arial" w:cs="Arial" w:eastAsia="Arial" w:hAnsi="Arial"/>
          <w:b w:val="false"/>
          <w:bCs w:val="false"/>
          <w:i w:val="false"/>
          <w:iCs w:val="false"/>
          <w:color w:val="000000"/>
          <w:sz w:val="20"/>
          <w:szCs w:val="20"/>
        </w:rPr>
        <w:t xml:space="preserve">• SV/WP scoring calibration (are the scores predictive?)</w:t>
      </w:r>
    </w:p>
    <w:p>
      <w:pPr>
        <w:spacing w:after="100" w:before="80"/>
        <w:jc w:val="left"/>
      </w:pPr>
      <w:r>
        <w:rPr>
          <w:rFonts w:ascii="Arial" w:cs="Arial" w:eastAsia="Arial" w:hAnsi="Arial"/>
          <w:b w:val="false"/>
          <w:bCs w:val="false"/>
          <w:i w:val="false"/>
          <w:iCs w:val="false"/>
          <w:color w:val="000000"/>
          <w:sz w:val="20"/>
          <w:szCs w:val="20"/>
        </w:rPr>
        <w:t xml:space="preserve">• Recommended playbook updates</w:t>
      </w:r>
    </w:p>
    <w:p>
      <w:r>
        <w:br w:type="page"/>
      </w:r>
    </w:p>
    <w:p>
      <w:pPr>
        <w:pStyle w:val="Heading1"/>
        <w:pBdr>
          <w:bottom w:val="single" w:color="2EA891" w:sz="12" w:space="6"/>
        </w:pBdr>
        <w:spacing w:after="160" w:before="360"/>
      </w:pPr>
      <w:r>
        <w:rPr>
          <w:rFonts w:ascii="Arial" w:cs="Arial" w:eastAsia="Arial" w:hAnsi="Arial"/>
          <w:b/>
          <w:bCs/>
          <w:color w:val="232D5A"/>
          <w:sz w:val="30"/>
          <w:szCs w:val="30"/>
        </w:rPr>
        <w:t xml:space="preserve">9.  Governance</w:t>
      </w:r>
    </w:p>
    <w:p>
      <w:pPr>
        <w:pStyle w:val="Heading2"/>
        <w:spacing w:after="100" w:before="220"/>
      </w:pPr>
      <w:r>
        <w:rPr>
          <w:rFonts w:ascii="Arial" w:cs="Arial" w:eastAsia="Arial" w:hAnsi="Arial"/>
          <w:b/>
          <w:bCs/>
          <w:color w:val="232D5A"/>
          <w:sz w:val="24"/>
          <w:szCs w:val="24"/>
        </w:rPr>
        <w:t xml:space="preserve">9.1  Roles</w:t>
      </w:r>
    </w:p>
    <w:p>
      <w:pPr>
        <w:spacing w:after="60" w:before="80"/>
        <w:jc w:val="left"/>
      </w:pPr>
      <w:r>
        <w:rPr>
          <w:rFonts w:ascii="Arial" w:cs="Arial" w:eastAsia="Arial" w:hAnsi="Arial"/>
          <w:b w:val="false"/>
          <w:bCs w:val="false"/>
          <w:i w:val="false"/>
          <w:iCs w:val="false"/>
          <w:color w:val="000000"/>
          <w:sz w:val="20"/>
          <w:szCs w:val="20"/>
        </w:rPr>
        <w:t xml:space="preserve">Compliance Officer (Khaalis Wooden) — owns this playbook. Prepares per-TO worksheet for every TO evaluated. Aggregates learning captures quarterly. Maintains BD Command Center archive.</w:t>
      </w:r>
    </w:p>
    <w:p>
      <w:pPr>
        <w:spacing w:after="60" w:before="80"/>
        <w:jc w:val="left"/>
      </w:pPr>
      <w:r>
        <w:rPr>
          <w:rFonts w:ascii="Arial" w:cs="Arial" w:eastAsia="Arial" w:hAnsi="Arial"/>
          <w:b w:val="false"/>
          <w:bCs w:val="false"/>
          <w:i w:val="false"/>
          <w:iCs w:val="false"/>
          <w:color w:val="000000"/>
          <w:sz w:val="20"/>
          <w:szCs w:val="20"/>
        </w:rPr>
        <w:t xml:space="preserve">CEO (Akil Chellam) — approves every bid submission. Required approval for any Tier A bid exceeding $500K. Final sign-off on playbook updates.</w:t>
      </w:r>
    </w:p>
    <w:p>
      <w:pPr>
        <w:spacing w:after="60" w:before="80"/>
        <w:jc w:val="left"/>
      </w:pPr>
      <w:r>
        <w:rPr>
          <w:rFonts w:ascii="Arial" w:cs="Arial" w:eastAsia="Arial" w:hAnsi="Arial"/>
          <w:b w:val="false"/>
          <w:bCs w:val="false"/>
          <w:i w:val="false"/>
          <w:iCs w:val="false"/>
          <w:color w:val="000000"/>
          <w:sz w:val="20"/>
          <w:szCs w:val="20"/>
        </w:rPr>
        <w:t xml:space="preserve">Delivery Leads (AJ; Akil for architecture and interim security oversight; external cyber partner as TO scope requires) — contribute cost estimation inputs; own execution of cost levers within their functional areas.</w:t>
      </w:r>
    </w:p>
    <w:p>
      <w:pPr>
        <w:spacing w:after="100" w:before="80"/>
        <w:jc w:val="left"/>
      </w:pPr>
      <w:r>
        <w:rPr>
          <w:rFonts w:ascii="Arial" w:cs="Arial" w:eastAsia="Arial" w:hAnsi="Arial"/>
          <w:b w:val="false"/>
          <w:bCs w:val="false"/>
          <w:i w:val="false"/>
          <w:iCs w:val="false"/>
          <w:color w:val="000000"/>
          <w:sz w:val="20"/>
          <w:szCs w:val="20"/>
        </w:rPr>
        <w:t xml:space="preserve">BD Support — populates competitor intel for each TO; feeds intel into SV/WP scoring.</w:t>
      </w:r>
    </w:p>
    <w:p>
      <w:pPr>
        <w:pStyle w:val="Heading2"/>
        <w:spacing w:after="100" w:before="220"/>
      </w:pPr>
      <w:r>
        <w:rPr>
          <w:rFonts w:ascii="Arial" w:cs="Arial" w:eastAsia="Arial" w:hAnsi="Arial"/>
          <w:b/>
          <w:bCs/>
          <w:color w:val="232D5A"/>
          <w:sz w:val="24"/>
          <w:szCs w:val="24"/>
        </w:rPr>
        <w:t xml:space="preserve">9.2  Approval Authority Matrix</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2200"/>
        <w:gridCol w:w="2200"/>
        <w:gridCol w:w="2560"/>
      </w:tblGrid>
      <w:tr>
        <w:tc>
          <w:tcPr>
            <w:tcW w:type="dxa" w:w="2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TO Value</w:t>
            </w:r>
          </w:p>
        </w:tc>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Compliance Officer</w:t>
            </w:r>
          </w:p>
        </w:tc>
        <w:tc>
          <w:tcPr>
            <w:tcW w:type="dxa" w:w="22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CEO</w:t>
            </w:r>
          </w:p>
        </w:tc>
        <w:tc>
          <w:tcPr>
            <w:tcW w:type="dxa" w:w="25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Additional Notes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 $10K (Tier 1)</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Recommend</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Notify</w:t>
            </w:r>
          </w:p>
        </w:tc>
        <w:tc>
          <w:tcPr>
            <w:tcW w:type="dxa" w:w="25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Direct-assignment relationship plays; low-friction approval</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$10K – $100K (Tier 2)</w:t>
            </w:r>
          </w:p>
        </w:tc>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Recommend + Worksheet</w:t>
            </w:r>
          </w:p>
        </w:tc>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Approve</w:t>
            </w:r>
          </w:p>
        </w:tc>
        <w:tc>
          <w:tcPr>
            <w:tcW w:type="dxa" w:w="25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Standard bid process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$100K – $500K (Tier 3, small)</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Recommend + Worksheet + Cost Model</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Approve</w:t>
            </w:r>
          </w:p>
        </w:tc>
        <w:tc>
          <w:tcPr>
            <w:tcW w:type="dxa" w:w="25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Full playbook applied; cost lever plan documented</w:t>
            </w:r>
          </w:p>
        </w:tc>
      </w:tr>
      <w:tr>
        <w:tc>
          <w:tcPr>
            <w:tcW w:type="dxa" w:w="24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$500K – $2M (Tier 3, mid)</w:t>
            </w:r>
          </w:p>
        </w:tc>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Recommend + Worksheet + Cost Model</w:t>
            </w:r>
          </w:p>
        </w:tc>
        <w:tc>
          <w:tcPr>
            <w:tcW w:type="dxa" w:w="220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Approve + CEO review of tier selection</w:t>
            </w:r>
          </w:p>
        </w:tc>
        <w:tc>
          <w:tcPr>
            <w:tcW w:type="dxa" w:w="2560"/>
            <w:tcBorders>
              <w:top w:val="single" w:color="BFBFBF" w:sz="4"/>
              <w:start w:val="single" w:color="BFBFBF" w:sz="4"/>
              <w:bottom w:val="single" w:color="BFBFBF" w:sz="4"/>
              <w:end w:val="single" w:color="BFBFBF" w:sz="4"/>
            </w:tcBorders>
            <w:shd w:fill="F2F2F2" w:val="clear"/>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Any Tier A bid at this scale requires CEO sign-off before proposal effort begins</w:t>
            </w:r>
          </w:p>
        </w:tc>
      </w:tr>
      <w:tr>
        <w:tc>
          <w:tcPr>
            <w:tcW w:type="dxa" w:w="2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&gt; $2M (Tier 3, large)</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Recommend + Worksheet + Cost Model + Delivery Plan</w:t>
            </w:r>
          </w:p>
        </w:tc>
        <w:tc>
          <w:tcPr>
            <w:tcW w:type="dxa" w:w="22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center"/>
            </w:pPr>
            <w:r>
              <w:rPr>
                <w:rFonts w:ascii="Arial" w:cs="Arial" w:eastAsia="Arial" w:hAnsi="Arial"/>
                <w:b w:val="false"/>
                <w:bCs w:val="false"/>
                <w:i w:val="false"/>
                <w:iCs w:val="false"/>
                <w:color w:val="000000"/>
                <w:sz w:val="18"/>
                <w:szCs w:val="18"/>
              </w:rPr>
              <w:t xml:space="preserve">Approve + CEO + Delivery Lead review</w:t>
            </w:r>
          </w:p>
        </w:tc>
        <w:tc>
          <w:tcPr>
            <w:tcW w:type="dxa" w:w="25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Full delivery capacity review before commit</w:t>
            </w:r>
          </w:p>
        </w:tc>
      </w:tr>
    </w:tbl>
    <w:p>
      <w:pPr>
        <w:pStyle w:val="Heading2"/>
        <w:spacing w:after="100" w:before="220"/>
      </w:pPr>
      <w:r>
        <w:rPr>
          <w:rFonts w:ascii="Arial" w:cs="Arial" w:eastAsia="Arial" w:hAnsi="Arial"/>
          <w:b/>
          <w:bCs/>
          <w:color w:val="232D5A"/>
          <w:sz w:val="24"/>
          <w:szCs w:val="24"/>
        </w:rPr>
        <w:t xml:space="preserve">9.3  Update Cadence</w:t>
      </w:r>
    </w:p>
    <w:p>
      <w:pPr>
        <w:spacing w:after="40" w:before="80"/>
        <w:jc w:val="left"/>
      </w:pPr>
      <w:r>
        <w:rPr>
          <w:rFonts w:ascii="Arial" w:cs="Arial" w:eastAsia="Arial" w:hAnsi="Arial"/>
          <w:b w:val="false"/>
          <w:bCs w:val="false"/>
          <w:i w:val="false"/>
          <w:iCs w:val="false"/>
          <w:color w:val="000000"/>
          <w:sz w:val="20"/>
          <w:szCs w:val="20"/>
        </w:rPr>
        <w:t xml:space="preserve">• Quarterly — Compliance Officer produces quarterly roll-up (§8.2), presents to CEO with recommended updates.</w:t>
      </w:r>
    </w:p>
    <w:p>
      <w:pPr>
        <w:spacing w:after="40" w:before="80"/>
        <w:jc w:val="left"/>
      </w:pPr>
      <w:r>
        <w:rPr>
          <w:rFonts w:ascii="Arial" w:cs="Arial" w:eastAsia="Arial" w:hAnsi="Arial"/>
          <w:b w:val="false"/>
          <w:bCs w:val="false"/>
          <w:i w:val="false"/>
          <w:iCs w:val="false"/>
          <w:color w:val="000000"/>
          <w:sz w:val="20"/>
          <w:szCs w:val="20"/>
        </w:rPr>
        <w:t xml:space="preserve">• Annually — Full playbook review; refresh tier distribution targets, cost levers, value narrative modules.</w:t>
      </w:r>
    </w:p>
    <w:p>
      <w:pPr>
        <w:spacing w:after="100" w:before="80"/>
        <w:jc w:val="left"/>
      </w:pPr>
      <w:r>
        <w:rPr>
          <w:rFonts w:ascii="Arial" w:cs="Arial" w:eastAsia="Arial" w:hAnsi="Arial"/>
          <w:b w:val="false"/>
          <w:bCs w:val="false"/>
          <w:i w:val="false"/>
          <w:iCs w:val="false"/>
          <w:color w:val="000000"/>
          <w:sz w:val="20"/>
          <w:szCs w:val="20"/>
        </w:rPr>
        <w:t xml:space="preserve">• Ad hoc — After any material event: new master vehicle win, loss of ≥3 consecutive bids, significant evaluator feedback pattern change, cost lever proves ineffective.</w:t>
      </w:r>
    </w:p>
    <w:p>
      <w:pPr>
        <w:pStyle w:val="Heading2"/>
        <w:spacing w:after="100" w:before="220"/>
      </w:pPr>
      <w:r>
        <w:rPr>
          <w:rFonts w:ascii="Arial" w:cs="Arial" w:eastAsia="Arial" w:hAnsi="Arial"/>
          <w:b/>
          <w:bCs/>
          <w:color w:val="232D5A"/>
          <w:sz w:val="24"/>
          <w:szCs w:val="24"/>
        </w:rPr>
        <w:t xml:space="preserve">9.4  Version Control</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1400"/>
        <w:gridCol w:w="4300"/>
        <w:gridCol w:w="2260"/>
      </w:tblGrid>
      <w:tr>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Version</w:t>
            </w:r>
          </w:p>
        </w:tc>
        <w:tc>
          <w:tcPr>
            <w:tcW w:type="dxa" w:w="14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Date</w:t>
            </w:r>
          </w:p>
        </w:tc>
        <w:tc>
          <w:tcPr>
            <w:tcW w:type="dxa" w:w="430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Change</w:t>
            </w:r>
          </w:p>
        </w:tc>
        <w:tc>
          <w:tcPr>
            <w:tcW w:type="dxa" w:w="2260"/>
            <w:tcBorders>
              <w:top w:val="single" w:color="BFBFBF" w:sz="4"/>
              <w:start w:val="single" w:color="BFBFBF" w:sz="4"/>
              <w:bottom w:val="single" w:color="BFBFBF" w:sz="4"/>
              <w:end w:val="single" w:color="BFBFBF" w:sz="4"/>
            </w:tcBorders>
            <w:shd w:fill="232D5A" w:val="clear"/>
            <w:tcMar>
              <w:top w:type="dxa" w:w="100"/>
              <w:start w:type="dxa" w:w="120"/>
              <w:bottom w:type="dxa" w:w="100"/>
              <w:end w:type="dxa" w:w="120"/>
            </w:tcMar>
            <w:vAlign w:val="top"/>
          </w:tcPr>
          <w:p>
            <w:pPr>
              <w:jc w:val="left"/>
            </w:pPr>
            <w:r>
              <w:rPr>
                <w:rFonts w:ascii="Arial" w:cs="Arial" w:eastAsia="Arial" w:hAnsi="Arial"/>
                <w:b/>
                <w:bCs/>
                <w:i w:val="false"/>
                <w:iCs w:val="false"/>
                <w:color w:val="FFFFFF"/>
                <w:sz w:val="16"/>
                <w:szCs w:val="16"/>
              </w:rPr>
              <w:t xml:space="preserve">Approver</w:t>
            </w:r>
          </w:p>
        </w:tc>
      </w:tr>
      <w:tr>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bCs/>
                <w:i w:val="false"/>
                <w:iCs w:val="false"/>
                <w:color w:val="000000"/>
                <w:sz w:val="18"/>
                <w:szCs w:val="18"/>
              </w:rPr>
              <w:t xml:space="preserve">1.0</w:t>
            </w:r>
          </w:p>
        </w:tc>
        <w:tc>
          <w:tcPr>
            <w:tcW w:type="dxa" w:w="14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2026-06-29</w:t>
            </w:r>
          </w:p>
        </w:tc>
        <w:tc>
          <w:tcPr>
            <w:tcW w:type="dxa" w:w="430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Initial playbook. Response to Montana SPB-RFP-2026-0608GW Track 2 cost score post-mortem. Tier A break-even to 5%, Tier B 15–25%, Tier C 30–45% adopted as VBX policy.</w:t>
            </w:r>
          </w:p>
        </w:tc>
        <w:tc>
          <w:tcPr>
            <w:tcW w:type="dxa" w:w="2260"/>
            <w:tcBorders>
              <w:top w:val="single" w:color="BFBFBF" w:sz="4"/>
              <w:start w:val="single" w:color="BFBFBF" w:sz="4"/>
              <w:bottom w:val="single" w:color="BFBFBF" w:sz="4"/>
              <w:end w:val="single" w:color="BFBFBF" w:sz="4"/>
            </w:tcBorders>
            <w:tcMar>
              <w:top w:type="dxa" w:w="100"/>
              <w:start w:type="dxa" w:w="120"/>
              <w:bottom w:type="dxa" w:w="100"/>
              <w:end w:type="dxa" w:w="120"/>
            </w:tcMar>
            <w:vAlign w:val="top"/>
          </w:tcPr>
          <w:p>
            <w:pPr>
              <w:jc w:val="left"/>
            </w:pPr>
            <w:r>
              <w:rPr>
                <w:rFonts w:ascii="Arial" w:cs="Arial" w:eastAsia="Arial" w:hAnsi="Arial"/>
                <w:b w:val="false"/>
                <w:bCs w:val="false"/>
                <w:i w:val="false"/>
                <w:iCs w:val="false"/>
                <w:color w:val="000000"/>
                <w:sz w:val="18"/>
                <w:szCs w:val="18"/>
              </w:rPr>
              <w:t xml:space="preserve">Khaalis Wooden / Akil Chellam</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r>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X.Y</w:t>
            </w:r>
          </w:p>
        </w:tc>
        <w:tc>
          <w:tcPr>
            <w:tcW w:type="dxa" w:w="14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YYYY-MM-DD</w:t>
            </w:r>
          </w:p>
        </w:tc>
        <w:tc>
          <w:tcPr>
            <w:tcW w:type="dxa" w:w="430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Description</w:t>
            </w:r>
          </w:p>
        </w:tc>
        <w:tc>
          <w:tcPr>
            <w:tcW w:type="dxa" w:w="2260"/>
            <w:tcBorders>
              <w:top w:val="single" w:color="BFBFBF" w:sz="4"/>
              <w:start w:val="single" w:color="BFBFBF" w:sz="4"/>
              <w:bottom w:val="single" w:color="BFBFBF" w:sz="4"/>
              <w:end w:val="single" w:color="BFBFBF" w:sz="4"/>
            </w:tcBorders>
            <w:shd w:fill="FAFAFA" w:val="clear"/>
            <w:tcMar>
              <w:top w:type="dxa" w:w="100"/>
              <w:start w:type="dxa" w:w="120"/>
              <w:bottom w:type="dxa" w:w="100"/>
              <w:end w:type="dxa" w:w="120"/>
            </w:tcMar>
            <w:vAlign w:val="top"/>
          </w:tcPr>
          <w:p>
            <w:r>
              <w:rPr>
                <w:rFonts w:ascii="Arial" w:cs="Arial" w:eastAsia="Arial" w:hAnsi="Arial"/>
                <w:i/>
                <w:iCs/>
                <w:color w:val="808080"/>
                <w:sz w:val="16"/>
                <w:szCs w:val="16"/>
              </w:rPr>
              <w:t xml:space="preserve">Approver</w:t>
            </w:r>
          </w:p>
        </w:tc>
      </w:tr>
    </w:tbl>
    <w:p>
      <w:pPr>
        <w:spacing w:before="400"/>
        <w:jc w:val="center"/>
      </w:pPr>
      <w:r>
        <w:rPr>
          <w:rFonts w:ascii="Arial" w:cs="Arial" w:eastAsia="Arial" w:hAnsi="Arial"/>
          <w:i/>
          <w:iCs/>
          <w:color w:val="595959"/>
          <w:sz w:val="20"/>
          <w:szCs w:val="20"/>
        </w:rPr>
        <w:t xml:space="preserve">— End of Playbook —</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space="4"/>
        <w:top w:val="single" w:sz="8" w:space="4" w:color="F7B801"/>
      </w:pBdr>
      <w:jc w:val="center"/>
    </w:pPr>
    <w:r>
      <w:rPr>
        <w:rFonts w:ascii="Arial" w:cs="Arial" w:eastAsia="Arial" w:hAnsi="Arial"/>
        <w:color w:val="8892A4"/>
        <w:sz w:val="16"/>
        <w:szCs w:val="16"/>
      </w:rPr>
      <w:t xml:space="preserve">CAGE 9Z4X2  |  UEI H4X2Z7R9E3E3  |  GSA MAS SIN 54151HEAL  |  </w:t>
    </w:r>
    <w:r>
      <w:rPr>
        <w:rFonts w:ascii="Arial" w:cs="Arial" w:eastAsia="Arial" w:hAnsi="Arial"/>
        <w:color w:val="8892A4"/>
        <w:sz w:val="16"/>
        <w:szCs w:val="16"/>
      </w:rPr>
      <w:t xml:space="preserve">CONFIDENTIAL — INTERNAL BD USE  |  Page </w:t>
    </w:r>
    <w:r>
      <w:rPr>
        <w:rFonts w:ascii="Arial" w:cs="Arial" w:eastAsia="Arial" w:hAnsi="Arial"/>
        <w:color w:val="8892A4"/>
        <w:sz w:val="16"/>
        <w:szCs w:val="16"/>
      </w:rPr>
      <w:fldChar w:fldCharType="begin"/>
      <w:instrText xml:space="preserve">PAGE</w:instrText>
      <w:fldChar w:fldCharType="separate"/>
      <w:fldChar w:fldCharType="end"/>
    </w:r>
    <w:r>
      <w:rPr>
        <w:rFonts w:ascii="Arial" w:cs="Arial" w:eastAsia="Arial" w:hAnsi="Arial"/>
        <w:color w:val="8892A4"/>
        <w:sz w:val="16"/>
        <w:szCs w:val="16"/>
      </w:rPr>
      <w:t xml:space="preserve"> of </w:t>
    </w:r>
    <w:r>
      <w:rPr>
        <w:rFonts w:ascii="Arial" w:cs="Arial" w:eastAsia="Arial" w:hAnsi="Arial"/>
        <w:color w:val="8892A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680"/>
      <w:gridCol w:w="4680"/>
    </w:tblGrid>
    <w:tr>
      <w:tc>
        <w:tcPr>
          <w:tcW w:type="dxa" w:w="3600"/>
          <w:vAlign w:val="center"/>
          <w:tcMar>
            <w:top w:w="0" w:type="dxa"/>
            <w:bottom w:w="0" w:type="dxa"/>
            <w:left w:w="0" w:type="dxa"/>
            <w:right w:w="0" w:type="dxa"/>
          </w:tcMar>
        </w:tcPr>
        <w:p>
          <w:pPr>
            <w:spacing w:after="0" w:before="0"/>
            <w:jc w:val="left"/>
          </w:pPr>
          <w:r>
            <w:drawing>
              <wp:inline xmlns:a="http://schemas.openxmlformats.org/drawingml/2006/main" xmlns:pic="http://schemas.openxmlformats.org/drawingml/2006/picture">
                <wp:extent cx="1554480" cy="65468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54480" cy="654681"/>
                        </a:xfrm>
                        <a:prstGeom prst="rect"/>
                      </pic:spPr>
                    </pic:pic>
                  </a:graphicData>
                </a:graphic>
              </wp:inline>
            </w:drawing>
          </w:r>
        </w:p>
      </w:tc>
      <w:tc>
        <w:tcPr>
          <w:tcW w:type="dxa" w:w="5760"/>
          <w:vAlign w:val="bottom"/>
          <w:tcMar>
            <w:top w:w="0" w:type="dxa"/>
            <w:bottom w:w="0" w:type="dxa"/>
            <w:left w:w="0" w:type="dxa"/>
            <w:right w:w="0" w:type="dxa"/>
          </w:tcMar>
        </w:tcPr>
        <w:p>
          <w:pPr>
            <w:spacing w:after="20" w:before="0"/>
            <w:jc w:val="right"/>
          </w:pPr>
          <w:r>
            <w:rPr>
              <w:rFonts w:ascii="Arial" w:hAnsi="Arial"/>
              <w:b/>
              <w:color w:val="232D5A"/>
              <w:sz w:val="16"/>
            </w:rPr>
            <w:t>Task Order Pricing Playbook</w:t>
          </w:r>
        </w:p>
        <w:p>
          <w:pPr>
            <w:spacing w:before="0" w:after="0"/>
            <w:jc w:val="right"/>
          </w:pPr>
          <w:r>
            <w:rPr>
              <w:rFonts w:ascii="Arial" w:hAnsi="Arial"/>
              <w:b/>
              <w:color w:val="2EA891"/>
              <w:sz w:val="13"/>
            </w:rPr>
            <w:t>B U I L D   W H A T   D O E S N ' T   E X I S T   Y E T</w:t>
          </w:r>
        </w:p>
      </w:tc>
    </w:tr>
  </w:tbl>
  <w:p>
    <w:pPr>
      <w:spacing w:before="40" w:after="0"/>
      <w:pBdr>
        <w:bottom w:val="single" w:sz="12" w:space="1" w:color="2EA89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32D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32D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VBX Task Order Pricing Playbook</dc:title>
  <dc:creator>Visionblox LLC</dc:creator>
  <dc:description>Three-tier pricing framework for master vehicle task order capture. Response to Montana Track 2 cost score post-mortem.</dc:description>
  <cp:lastModifiedBy>Un-named</cp:lastModifiedBy>
  <cp:revision>1</cp:revision>
  <dcterms:created xsi:type="dcterms:W3CDTF">2026-07-02T17:23:09.770Z</dcterms:created>
  <dcterms:modified xsi:type="dcterms:W3CDTF">2026-07-02T17:23:09.770Z</dcterms:modified>
</cp:coreProperties>
</file>

<file path=docProps/custom.xml><?xml version="1.0" encoding="utf-8"?>
<Properties xmlns="http://schemas.openxmlformats.org/officeDocument/2006/custom-properties" xmlns:vt="http://schemas.openxmlformats.org/officeDocument/2006/docPropsVTypes"/>
</file>