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232D5A"/>
          <w:sz w:val="36"/>
          <w:szCs w:val="36"/>
        </w:rPr>
        <w:t xml:space="preserve">VISIONBLOX LLC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A891"/>
          <w:sz w:val="28"/>
          <w:szCs w:val="28"/>
        </w:rPr>
        <w:t xml:space="preserve">AI VENDOR STACK AUDIT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Compliance Verification Workbook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Montana Master AI Products &amp; Services (SPB-RFP-2026-0608GW)</w:t>
      </w:r>
    </w:p>
    <w:p>
      <w:pPr>
        <w:pBdr>
          <w:top w:val="single" w:color="F7B801" w:sz="24" w:space="8"/>
        </w:pBdr>
        <w:spacing w:after="200" w:before="2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232D5A"/>
          <w:sz w:val="20"/>
          <w:szCs w:val="20"/>
        </w:rPr>
        <w:t xml:space="preserve">Regulatory Basis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Exhibit C §15 (Use of AI + Data Location)  |  Exhibit C §1e (Remote Access)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MCA 2-6-1501 to 1503 (State Agency Protection of Personal Information)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Prepared by: Antony Jayaraj, Director of Data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Reviewed by: Akil R. Chellam, CEO (interim CISO coverage)  |  Approved by: Akil R. Chellam, CEO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Compiled by: Khaalis Wooden, MBA — Director of Enterprise Capture &amp; Compliance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 Date: ____________________  |  Target Completion: 7/11/2026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Version: 1.0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>CAGE 9Z4X2  |  UEI H4X2Z7R9E3E3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32D5A"/>
          <w:sz w:val="18"/>
          <w:szCs w:val="18"/>
        </w:rPr>
        <w:t xml:space="preserve">CONFIDENTIAL — INTERNAL COMPLIANCE USE</w:t>
      </w:r>
    </w:p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1.  Purpose &amp; Scope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workbook documents Visionblox LLC's audit of each downstream AI/LLM/foundation-model vendor whose services may be used to deliver task orders under the Montana Master AI Products and Services vehicle (SPB-RFP-2026-0608GW).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Its purpose is threefold: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 Verify that every AI vendor in the VBX delivery stack contractually prohibits training on customer data — a hard requirement under Exhibit C §15.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 Verify that all data processing occurs within US jurisdictional boundaries — required by Exhibit C §1e (Remote Access) and §15 (Data Location, FIPS 199 Moderate).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 Establish an "Approved AI Stack for Montana Task Orders" — the definitive list of vendors and models cleared for use, with any conditions or restrictions documented.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Scope covers foundation-model APIs, managed AI platforms, retrieval-augmented generation services, embedding services, and any third-party AI component whose infrastructure processes State-supplied inputs or generates outputs incorporating State data.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1.1  Out of Scope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covered by this audit: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AI models developed and hosted entirely on VBX-owned or VBX-controlled US infrastructure (documented separately in the Cloud Architecture US-Only Posture Memo).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Client-side AI tooling used by VBX personnel for internal productivity (unless State data is submitted to those tools — which is prohibited).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General-purpose SaaS products with incidental AI features not used in delivery of State work.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1.2  Audit Refresh Cadence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Vendor terms change. This audit is a living document. Refresh triggers: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Annually (calendar reminder set for July 1 each year)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Whenever a new vendor is added to the VBX delivery stack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Whenever an existing vendor updates its Terms of Service, Data Processing Addendum, or Enterprise Agreement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Whenever a new Montana task order proposes a use case not covered by prior audit entries</w:t>
      </w:r>
    </w:p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2.  Regulatory Baseline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compliance floor for this audit. Every audited vendor must be evaluated against every row of the following table. A vendor may pass, pass with conditions, or fail — but the evaluation must be documented against each requirement.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Contractual / Statutory Basis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(Paraphrased)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Exhibit C §15 — Use of AI (a)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shall inform State of use of generative AI prior to performance and identify areas of intended use.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Exhibit C §15 — Use of AI (b)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AI-generated output impacting State intellectual property must be annotated with source citations, references, and materials used.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Exhibit C §15 — Use of AI (c)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is PROHIBITED from using State materials or data in generative AI queries.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Exhibit C §15 — Use of AI (d)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is PROHIBITED from building or training proprietary generative AI programs on State materials without prior written State permission.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Exhibit C §15 — Use of AI (e)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attests that generative AI models use ONLY properly licensed material as training inputs.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Exhibit C §15 — Use of AI (f)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shall immediately notify State of any breach or unauthorized use.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Exhibit C §15 — Data Location (Moderate)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shall not store, process, or transfer any non-public State data outside the United States — including for services or back-up and disaster recovery.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Exhibit C §15 — Subsequent Use / Syndicated Data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Contractor may not use State data for any purpose other than fulfilling the service. No subsequent use without express written State authorization. May not create syndicated data.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Exhibit C §1e — Remote Access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IT resources shall not be accessed by Contractor, officers, employees, agents, subcontractors, affiliated users, or any subcontractors located outside the legal jurisdictional boundary of the United States.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MCA 2-6-1501(5)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Defines "Personal Information": first name/initial + last name in combination with SSN, driver's license/state ID, tribal ID, account/credit/debit number + access code, medical record info (33-19-104), TIN, or IRS IP PIN — when not encrypted.</w:t>
            </w:r>
          </w:p>
        </w:tc>
      </w:tr>
      <w:tr>
        <w:tc>
          <w:tcPr>
            <w:tcW w:type="dxa" w:w="26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MCA 2-6-1503(4)</w:t>
            </w:r>
          </w:p>
        </w:tc>
        <w:tc>
          <w:tcPr>
            <w:tcW w:type="dxa" w:w="6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 parties handling state agency personal information must maintain an information security policy AND breach notification procedures.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3.  Audit Criteria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 criteria applied to every vendor. Each vendor entry (Section 5) must record a verdict against every criterion.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500"/>
        <w:gridCol w:w="15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 Options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Terms of Service, Data Processing Addendum (DPA), or Enterprise Agreement expressly states that customer inputs, outputs, prompts, or fine-tuning data are NOT used to train, retrain, or improve foundation models, either by default or as the only enterprise-tier option.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supports selection of US-only processing regions AND commits (contractually or via product configuration) that data will not leave selected US regions during processing, backup, or DR. Cross-border data transfer explicitly disabled.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commits to a defined retention window (typically 30 days or less for enterprise tiers) after which prompts/outputs are deleted. Customer-requested immediate deletion is available.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 minimum (TLS 1.3 preferred) in transit. AES-256 or equivalent at rest. Customer-managed encryption keys (CMK) available for enterprise tier.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minimum ONE of: SOC 2 Type II, ISO 27001, ISO 42001 (AI management), FedRAMP Moderate or High, HITRUST. Current report/certificate obtainable under NDA.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SSO/SAML supported. Role-based access control. MFA-required for admin actions. API key rotation supported.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offers appropriate contract vehicle: Enterprise Agreement, Business Associate Agreement (BAA) if PHI-adjacent, Data Processing Addendum (DPA). Default clickwrap terms alone are NOT sufficient for MT delivery.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publicly attests that training data was obtained through proper licensing, publicly available sources, or with rights-holder consent — supports VBX's Exhibit C §15(e) attestation obligation upstream.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commits to notify VBX of any security incident within a defined SLA (72 hours or less preferred, as this aligns with VBX's obligation to notify the State immediately under MCA 2-6-1503(2)(a)(i)).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permits VBX audit or attestation review (may be satisfied by SOC 2 Type II annual reports without on-site audit; sufficient for most SLED contexts).</w:t>
            </w:r>
          </w:p>
        </w:tc>
        <w:tc>
          <w:tcPr>
            <w:tcW w:type="dxa" w:w="15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/ PASS w/ Conditions / FAIL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3.1  Verdict Definitions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0"/>
          <w:szCs w:val="20"/>
        </w:rPr>
        <w:t xml:space="preserve">PASS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Vendor meets the criterion at the enterprise tier VBX will contract at. No conditions or workarounds required. Approved for MT task order use.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96600"/>
          <w:sz w:val="20"/>
          <w:szCs w:val="20"/>
        </w:rPr>
        <w:t xml:space="preserve">PASS w/ Conditions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Vendor meets the criterion only if VBX configures a specific option, executes a specific agreement, or accepts a specific use restriction. Approved for MT task order use ONLY with the condition documented and enforced.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30000"/>
          <w:sz w:val="20"/>
          <w:szCs w:val="20"/>
        </w:rPr>
        <w:t xml:space="preserve">FAIL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Vendor does not meet the criterion. Vendor CANNOT be used for MT task orders involving State data until remediated.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3.2  Overall Vendor Verdict Logic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 overall vendor verdict is the strictest of any individual criterion verdict: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All ten PASS → Vendor verdict: APPROVED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Any PASS w/ Conditions, no FAIL → Vendor verdict: APPROVED WITH CONDITIONS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Any single FAIL → Vendor verdict: NOT APPROVED</w:t>
      </w:r>
    </w:p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4.  Approved AI Stack Matrix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Summary view. Populate this table AFTER completing individual vendor detail sheets in Section 5. This is the reference to share with VBX proposal writers when scoping MT task order bids.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Product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Model(s) Approved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1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2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3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4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5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6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7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8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9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10</w:t>
            </w:r>
          </w:p>
        </w:tc>
        <w:tc>
          <w:tcPr>
            <w:tcW w:type="dxa" w:w="2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Model(s)</w:t>
            </w:r>
          </w:p>
        </w:tc>
        <w:tc>
          <w:tcPr>
            <w:tcW w:type="dxa" w:w="1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Use cases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  Vendor Detail Sheets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pages contain one blank template sheet and eight pre-labeled placeholder sheets for AI vendors likely to be in scope. Populate the ones relevant to VBX's Montana delivery stack; delete placeholders for vendors not used; duplicate the template for any additional vendors.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Common Vendors To Consider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Anthropic (Claude API — Enterprise / Bedrock / Vertex AI hosted)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OpenAI (Enterprise tier / API / Azure OpenAI hosted)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Microsoft Azure OpenAI Service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AWS Bedrock (multi-model gateway)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Google Vertex AI / Gemini API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Meta Llama (self-hosted vs. Bedrock/Vertex)</w:t>
      </w:r>
    </w:p>
    <w:p>
      <w:pPr>
        <w:spacing w:after="3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Cohere (Command R+ / Embed)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Mistral AI (La Plateforme / Bedrock hosted)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Note: When a foundation model is accessed via a cloud hyperscaler gateway (e.g., Anthropic Claude via AWS Bedrock), BOTH vendors' terms apply and BOTH should be audited. Document the composite verdict.</w:t>
      </w:r>
    </w:p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5.1  Vendor Detail Sheet — TEMPLATE (Blank)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Anthropic, PBC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5.2  Vendor Detail Sheet — Anthropic (Claude API — direct)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Anthropic (Claude API — direct)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5.3  Vendor Detail Sheet — AWS Bedrock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AWS Bedrock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5.4  Vendor Detail Sheet — OpenAI Enterprise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OpenAI Enterprise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5.5  Vendor Detail Sheet — Microsoft Azure OpenAI Service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Microsoft Azure OpenAI Service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5.6  Vendor Detail Sheet — Google Vertex AI / Gemini API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Google Vertex AI / Gemini API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5.7  Vendor Detail Sheet — Vendor 6 — [populate as needed]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6 — [populate as needed]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5.8  Vendor Detail Sheet — Vendor 7 — [populate as needed]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Populate every field. If a criterion cannot be verified, mark it FAIL and document the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Vendor Identity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Vendor 7 — [populate as needed]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Product tier and SKU (e.g., API — Enterprise, Bedrock provisioned throughput)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Model(s) Evaluated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each model or model family (e.g., claude-opus-4-7, claude-sonnet-4-6)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Docs URLs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Terms of Service; DPA; Trust Center; Attestation reports (SOC 2, etc.)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Account manager or partner contact + email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Vehicle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Enterprise Agreement / BAA / DPA / Clickwrap — status of each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Executed Date</w:t>
            </w:r>
          </w:p>
        </w:tc>
        <w:tc>
          <w:tcPr>
            <w:tcW w:type="dxa" w:w="69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Criterion Evaluation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00"/>
        <w:gridCol w:w="1660"/>
      </w:tblGrid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Source (Contract §, URL, DPA §)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training on customer data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US-only data residency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retention &amp; deletion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attestations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controls &amp; authentication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mechanism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licensing attestation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SLA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  <w:tr>
        <w:tc>
          <w:tcPr>
            <w:tcW w:type="dxa" w:w="5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rights</w:t>
            </w:r>
          </w:p>
        </w:tc>
        <w:tc>
          <w:tcPr>
            <w:tcW w:type="dxa" w:w="48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Cite section / URL / DPA reference</w:t>
            </w:r>
          </w:p>
        </w:tc>
        <w:tc>
          <w:tcPr>
            <w:tcW w:type="dxa" w:w="16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PASS / PASS w/C / 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Overall Verdict &amp; Scope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Vendor Verdict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APPROVED / APPROVED WITH CONDITIONS / NOT 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Conditions / Restrictions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List conditions that MUST be enforced during use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document summarization; data extraction; RAG retrieval; classification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Use Cases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e.g., no fine-tuning on State data; no PHI without BAA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+ role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Concurrence (interim: CEO; per-TO cyber partner if engaged)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Signature/initial + date</w:t>
            </w:r>
          </w:p>
        </w:tc>
      </w:tr>
      <w:tr>
        <w:tc>
          <w:tcPr>
            <w:tcW w:type="dxa" w:w="30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Annually or on vendor terms change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A891"/>
          <w:sz w:val="22"/>
          <w:szCs w:val="22"/>
        </w:rPr>
        <w:t xml:space="preserve">Notes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Any relevant context: known gotchas, contract negotiation notes, alternate SKUs, dependency on other vendors' models (e.g., Claude via Bedrock triggers dual audit), pricing implications, procurement notes.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6.  Governance &amp; Change Control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6.1  Roles &amp; Responsibilities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Owner: Antony Jayaraj (Director of Data Engineering) — populates vendor detail sheets, maintains this workbook.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Reviewer: Akil R. Chellam (CEO, interim CISO coverage) — concurs on every vendor verdict; owns overall security policy while dedicated CISO reassignment is pending.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Approver: Akil R. Chellam (CEO) — approves Approved AI Stack Matrix; approves each vendor for MT task order use.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Compliance Officer: Khaalis Wooden (Director of Enterprise Capture &amp; Compliance) — coordinates workbook updates before each TO bid.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6.2  When to Update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New vendor added to VBX delivery stack → new vendor detail sheet added and completed before use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Existing vendor updates ToS, DPA, or Enterprise Agreement → refresh existing sheet + note in change log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New MT task order with a use case not covered by prior audit entries → verify approved use cases still cover TO scope; update if needed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Annual review — July 1 each year (calendar reminder)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6.3  Change Log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change to this workbook must be recorded. Do not overwrite prior entries — append.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Date | Change | Reviewer | Approver
[Populate as changes are made]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6.4  Escalation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a vendor moves from APPROVED to NOT APPROVED (e.g., ToS change eliminates the no-training guarantee), the Compliance Officer must: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Immediately pause any use of that vendor in MT delivery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Notify Akil + Khaalis within 24 hours (plus external cyber partner if engaged on the affected TO)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If the vendor is in active use on a task order, notify the MT contracting agency per Exhibit C §15 (Contractor shall inform State of use of generative AI prior to performance)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Identify a compliant alternative vendor OR remediate the finding OR terminate the use case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32D5A"/>
          <w:sz w:val="24"/>
          <w:szCs w:val="24"/>
        </w:rPr>
        <w:t xml:space="preserve">6.5  Attestation Ties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VBX must attest to the State that AI models used in delivery use only properly licensed material (Exhibit C §15(e)). This workbook provides the traceable evidence supporting that attestation. Individual vendor Criterion #8 verdicts, aggregated, form the basis for the VBX-level attestation.</w:t>
      </w:r>
    </w:p>
    <w:p>
      <w:r>
        <w:br w:type="page"/>
      </w:r>
    </w:p>
    <w:p>
      <w:pPr>
        <w:pStyle w:val="Heading1"/>
        <w:pBdr>
          <w:bottom w:val="single" w:color="2EA891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232D5A"/>
          <w:sz w:val="30"/>
          <w:szCs w:val="30"/>
        </w:rPr>
        <w:t xml:space="preserve">7.  Sign-Off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sign-off block should be completed at every full workbook refresh (minimum annually). By signing, the parties confirm the Approved AI Stack Matrix in Section 4 is current and each vendor listed as APPROVED is cleared for use in Montana task order delivery consistent with the conditions documented herein.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440"/>
        <w:gridCol w:w="2040"/>
      </w:tblGrid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232D5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 (Owner)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Antony Jayaraj, Director of Data Engineering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Khaalis Wooden, MBA — Director of Enterprise Capture &amp; Compliance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Review (Interim CISO Coverage)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Akil R. Chellam, CEO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FF4D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External Cyber Partner Review (per TO, if engaged)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Partner name + reviewer + title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By (CEO)</w:t>
            </w:r>
          </w:p>
        </w:tc>
        <w:tc>
          <w:tcPr>
            <w:tcW w:type="dxa" w:w="348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2F2F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Akil R. Chellam, CEO</w:t>
            </w:r>
          </w:p>
        </w:tc>
        <w:tc>
          <w:tcPr>
            <w:tcW w:type="dxa" w:w="14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2040"/>
            <w:tcBorders>
              <w:top w:val="single" w:color="BFBFBF" w:sz="4"/>
              <w:start w:val="single" w:color="BFBFBF" w:sz="4"/>
              <w:bottom w:val="single" w:color="BFBFBF" w:sz="4"/>
              <w:end w:val="single" w:color="BFBFBF" w:sz="4"/>
            </w:tcBorders>
            <w:shd w:fill="FAFAFA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Workbook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32D5A" w:sz="8" w:space="4"/>
        <w:top w:val="single" w:sz="8" w:space="4" w:color="F7B801"/>
      </w:pBdr>
      <w:jc w:val="center"/>
    </w:pPr>
    <w:r>
      <w:rPr>
        <w:rFonts w:ascii="Arial" w:cs="Arial" w:eastAsia="Arial" w:hAnsi="Arial"/>
        <w:color w:val="8892A4"/>
        <w:sz w:val="16"/>
        <w:szCs w:val="16"/>
      </w:rPr>
      <w:t xml:space="preserve">CAGE 9Z4X2  |  UEI H4X2Z7R9E3E3  |  </w:t>
    </w:r>
    <w:r>
      <w:rPr>
        <w:rFonts w:ascii="Arial" w:cs="Arial" w:eastAsia="Arial" w:hAnsi="Arial"/>
        <w:color w:val="8892A4"/>
        <w:sz w:val="16"/>
        <w:szCs w:val="16"/>
      </w:rPr>
      <w:t xml:space="preserve">CONFIDENTIAL — INTERNAL COMPLIANCE USE  |  Page </w:t>
    </w:r>
    <w:r>
      <w:rPr>
        <w:rFonts w:ascii="Arial" w:cs="Arial" w:eastAsia="Arial" w:hAnsi="Arial"/>
        <w:color w:val="8892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2A4"/>
        <w:sz w:val="16"/>
        <w:szCs w:val="16"/>
      </w:rPr>
      <w:t xml:space="preserve"> of </w:t>
    </w:r>
    <w:r>
      <w:rPr>
        <w:rFonts w:ascii="Arial" w:cs="Arial" w:eastAsia="Arial" w:hAnsi="Arial"/>
        <w:color w:val="8892A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680"/>
      <w:gridCol w:w="4680"/>
    </w:tblGrid>
    <w:tr>
      <w:tc>
        <w:tcPr>
          <w:tcW w:type="dxa" w:w="3600"/>
          <w:vAlign w:val="center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6546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6546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bottom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20" w:before="0"/>
            <w:jc w:val="right"/>
          </w:pPr>
          <w:r>
            <w:rPr>
              <w:rFonts w:ascii="Arial" w:hAnsi="Arial"/>
              <w:b/>
              <w:color w:val="232D5A"/>
              <w:sz w:val="16"/>
            </w:rPr>
            <w:t>AI Vendor Stack Audit  —  Montana Master AI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2EA891"/>
              <w:sz w:val="13"/>
            </w:rPr>
            <w:t>B U I L D   W H A T   D O E S N ' T   E X I S T   Y E T</w:t>
          </w:r>
        </w:p>
      </w:tc>
    </w:tr>
  </w:tbl>
  <w:p>
    <w:pPr>
      <w:spacing w:before="40" w:after="0"/>
      <w:pBdr>
        <w:bottom w:val="single" w:sz="12" w:space="1" w:color="2EA89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32D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32D5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VBX AI Vendor Stack Audit — Montana Master AI Delivery</dc:title>
  <dc:creator>Visionblox LLC</dc:creator>
  <dc:description>Compliance verification workbook for downstream AI/LLM vendors under Montana SPB-RFP-2026-0608GW</dc:description>
  <cp:lastModifiedBy>Un-named</cp:lastModifiedBy>
  <cp:revision>1</cp:revision>
  <dcterms:created xsi:type="dcterms:W3CDTF">2026-07-02T17:21:46.207Z</dcterms:created>
  <dcterms:modified xsi:type="dcterms:W3CDTF">2026-07-02T17:21:46.219Z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