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2E"/>
          <w:sz w:val="38"/>
          <w:szCs w:val="38"/>
        </w:rPr>
        <w:t xml:space="preserve">RELIAN — CONTRACT RECONCILIATION</w:t>
      </w:r>
    </w:p>
    <w:p>
      <w:pPr>
        <w:spacing w:after="60"/>
      </w:pPr>
      <w:r>
        <w:rPr>
          <w:rFonts w:ascii="Calibri" w:cs="Calibri" w:eastAsia="Calibri" w:hAnsi="Calibri"/>
          <w:b/>
          <w:bCs/>
          <w:color w:val="0F4C81"/>
          <w:sz w:val="23"/>
          <w:szCs w:val="23"/>
        </w:rPr>
        <w:t xml:space="preserve">Build State vs. Contract SPB26-0608GW-VSNBLX · Obligations, Gaps, and Priority Sequence</w:t>
      </w:r>
    </w:p>
    <w:p>
      <w:pPr>
        <w:pBdr>
          <w:bottom w:val="single" w:color="0F4C81" w:sz="8"/>
        </w:pBdr>
        <w:spacing w:after="200"/>
      </w:pPr>
      <w:r>
        <w:rPr>
          <w:rFonts w:ascii="Calibri" w:cs="Calibri" w:eastAsia="Calibri" w:hAnsi="Calibri"/>
          <w:color w:val="555555"/>
          <w:sz w:val="18"/>
          <w:szCs w:val="18"/>
        </w:rPr>
        <w:t xml:space="preserve">Visionblox LLC · Internal Distribution · v1.1, August 8, 2026 (pre-signature flags resolved) · Scope: Relian™ only (VisionDoc AI and VisionAnalytics tracked separately) · Term: 2 years from final signature to June 30, 2028; renewable to a total of 10 years (18-4-313, MCA — confirmed)</w:t>
      </w:r>
    </w:p>
    <w:p>
      <w:pPr>
        <w:pStyle w:val="Heading1"/>
        <w:spacing w:after="140" w:before="280"/>
      </w:pPr>
      <w:r>
        <w:rPr>
          <w:rFonts w:ascii="Calibri" w:cs="Calibri" w:eastAsia="Calibri" w:hAnsi="Calibri"/>
          <w:b/>
          <w:bCs/>
          <w:color w:val="0F4C81"/>
          <w:sz w:val="27"/>
          <w:szCs w:val="27"/>
        </w:rPr>
        <w:t xml:space="preserve">1. Direction Verdict</w:t>
      </w:r>
    </w:p>
    <w:p>
      <w:pPr>
        <w:spacing w:after="120"/>
      </w:pPr>
      <w:r>
        <w:rPr>
          <w:rFonts w:ascii="Calibri" w:cs="Calibri" w:eastAsia="Calibri" w:hAnsi="Calibri"/>
          <w:color w:val="1A1A2E"/>
          <w:sz w:val="20"/>
          <w:szCs w:val="20"/>
        </w:rPr>
        <w:t xml:space="preserve">The build direction is correct and the contract confirms it. The remediated architecture — measured-only metrics, honest failure on unsupported COBOL, Ed25519 hash-chained attestation, sealed held-out gating in CI — is not merely compatible with this contract; it is the only architecture that can survive it. Exhibit A §3.1 gives the State and Legislative Auditor access to any records necessary to audit for compliance, Exhibit C requires annual assurance statements with a detailed accounting of controls, and the generative-AI clause demands source-material accountability. A pipeline that fabricates numbers fails all three on first audit. The pipeline that refuses to attest what it cannot measure passes by construction.</w:t>
      </w:r>
    </w:p>
    <w:p>
      <w:pPr>
        <w:spacing w:after="120"/>
      </w:pPr>
      <w:r>
        <w:rPr>
          <w:rFonts w:ascii="Calibri" w:cs="Calibri" w:eastAsia="Calibri" w:hAnsi="Calibri"/>
          <w:color w:val="1A1A2E"/>
          <w:sz w:val="20"/>
          <w:szCs w:val="20"/>
        </w:rPr>
        <w:t xml:space="preserve">Two facts sharpen the picture as of this version. First, all pre-signature verification flags have been resolved (Section 2) — the contract is clean to sign as drafted. Second, total duration is confirmed at up to 10 years including renewals, which changes the weight class of the vehicle: compliance and certification spending is franchise infrastructure amortized over a decade and four buyer classes, not overhead on a 2-year contract.</w:t>
      </w:r>
    </w:p>
    <w:p>
      <w:pPr>
        <w:spacing w:after="120"/>
      </w:pPr>
      <w:r>
        <w:rPr>
          <w:rFonts w:ascii="Calibri" w:cs="Calibri" w:eastAsia="Calibri" w:hAnsi="Calibri"/>
          <w:color w:val="1A1A2E"/>
          <w:sz w:val="20"/>
          <w:szCs w:val="20"/>
        </w:rPr>
        <w:t xml:space="preserve">One structural fact dominates this reconciliation: Section 7.1 incorporates the RFP response and Exhibit D (Cost Proposal) into the Contract by reference. Every capability bullet written in the April proposal — before the integrity remediation — is now a contractual representation. Three of those bullets are not yet true of the honest build (Section 4). The saving structure is the two-tier model: no work and no specific deliverable obligation flows until a Tier Two SOW is executed, so each Tier Two quote is the control point. The governing rule going forward: no Tier Two quote may offer a capability that is not measured, benched, and demonstrable on the day the quote is submitted.</w:t>
      </w:r>
    </w:p>
    <w:p>
      <w:pPr>
        <w:pStyle w:val="Heading1"/>
        <w:spacing w:after="140" w:before="280"/>
      </w:pPr>
      <w:r>
        <w:rPr>
          <w:rFonts w:ascii="Calibri" w:cs="Calibri" w:eastAsia="Calibri" w:hAnsi="Calibri"/>
          <w:b/>
          <w:bCs/>
          <w:color w:val="0F4C81"/>
          <w:sz w:val="27"/>
          <w:szCs w:val="27"/>
        </w:rPr>
        <w:t xml:space="preserve">2. Pre-Signature Flags — Resolved</w:t>
      </w:r>
    </w:p>
    <w:p>
      <w:pPr>
        <w:spacing w:after="120"/>
      </w:pPr>
      <w:r>
        <w:rPr>
          <w:rFonts w:ascii="Calibri" w:cs="Calibri" w:eastAsia="Calibri" w:hAnsi="Calibri"/>
          <w:color w:val="1A1A2E"/>
          <w:sz w:val="19"/>
          <w:szCs w:val="19"/>
        </w:rPr>
        <w:t xml:space="preserve">Four verification flags were raised against the unsigned copy and resolved on August 8, 2026. Outcome: the contract is clean to sign as drafted.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w:t>
            </w:r>
          </w:p>
        </w:tc>
        <w:tc>
          <w:tcPr>
            <w:tcW w:type="dxa" w:w="32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Flag raised</w:t>
            </w:r>
          </w:p>
        </w:tc>
        <w:tc>
          <w:tcPr>
            <w:tcW w:type="dxa" w:w="55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Resolution</w:t>
            </w:r>
          </w:p>
        </w:tc>
      </w:tr>
      <w:tr>
        <w:tc>
          <w:tcPr>
            <w:tcW w:type="dxa" w:w="6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F1</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Signature block address (San Jose, CA)</w:t>
            </w:r>
          </w:p>
        </w:tc>
        <w:tc>
          <w:tcPr>
            <w:tcW w:type="dxa" w:w="55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E6B3C"/>
                <w:sz w:val="17"/>
                <w:szCs w:val="17"/>
              </w:rPr>
              <w:t xml:space="preserve">RESOLVED — accurate as drafted. Visionblox LLC is headquartered at 2570 N. First St., 2nd Floor, San Jose, CA 95131. The Huntsville, AL address in the Contract Manager block is the southeast office, run by K. Wooden (Director of Enterprise Capture &amp; Compliance). No correction required.</w:t>
            </w:r>
          </w:p>
        </w:tc>
      </w:tr>
      <w:tr>
        <w:tc>
          <w:tcPr>
            <w:tcW w:type="dxa" w:w="6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F2</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Section 4.3 duration — “7 years / 10 years”</w:t>
            </w:r>
          </w:p>
        </w:tc>
        <w:tc>
          <w:tcPr>
            <w:tcW w:type="dxa" w:w="55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E6B3C"/>
                <w:sz w:val="17"/>
                <w:szCs w:val="17"/>
              </w:rPr>
              <w:t xml:space="preserve">RESOLVED — 10 years governs (the 10-year box is marked). Total contract duration including renewals may run to approximately 2036. Strategic consequences carried into Sections 3 and 5.</w:t>
            </w:r>
          </w:p>
        </w:tc>
      </w:tr>
      <w:tr>
        <w:tc>
          <w:tcPr>
            <w:tcW w:type="dxa" w:w="6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F3</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Section 5 procurement mechanism</w:t>
            </w:r>
          </w:p>
        </w:tc>
        <w:tc>
          <w:tcPr>
            <w:tcW w:type="dxa" w:w="55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E6B3C"/>
                <w:sz w:val="17"/>
                <w:szCs w:val="17"/>
              </w:rPr>
              <w:t xml:space="preserve">RESOLVED — the RFP box is checked (RFP # SPB-RFP2026-0608GW).</w:t>
            </w:r>
          </w:p>
        </w:tc>
      </w:tr>
      <w:tr>
        <w:tc>
          <w:tcPr>
            <w:tcW w:type="dxa" w:w="6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F4</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FIPS 199 MODERATE checkbox scope</w:t>
            </w:r>
          </w:p>
        </w:tc>
        <w:tc>
          <w:tcPr>
            <w:tcW w:type="dxa" w:w="55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4A4A6A"/>
                <w:sz w:val="17"/>
                <w:szCs w:val="17"/>
              </w:rPr>
              <w:t xml:space="preserve">ACKNOWLEDGED — signing with eyes open. The Moderate designation activates the full moderate-column control set (US-only data, FIPS 140-2 encryption, NIST SP 800-53 alignment, SOC 2 Type 2 or approved equivalent, SSP assistance, breach notification, NIST 800-88 disposition). Obligations mapped in Section 5.</w:t>
            </w:r>
          </w:p>
        </w:tc>
      </w:tr>
    </w:tbl>
    <w:p>
      <w:pPr>
        <w:pStyle w:val="Heading1"/>
        <w:spacing w:after="140" w:before="280"/>
      </w:pPr>
      <w:r>
        <w:rPr>
          <w:rFonts w:ascii="Calibri" w:cs="Calibri" w:eastAsia="Calibri" w:hAnsi="Calibri"/>
          <w:b/>
          <w:bCs/>
          <w:color w:val="0F4C81"/>
          <w:sz w:val="27"/>
          <w:szCs w:val="27"/>
        </w:rPr>
        <w:t xml:space="preserve">3. Revenue Mechanics — How Money Actually Flows</w:t>
      </w:r>
    </w:p>
    <w:p>
      <w:pPr>
        <w:pStyle w:val="ListParagraph"/>
        <w:numPr>
          <w:ilvl w:val="0"/>
          <w:numId w:val="2"/>
        </w:numPr>
        <w:spacing w:after="80"/>
      </w:pPr>
      <w:r>
        <w:rPr>
          <w:rFonts w:ascii="Calibri" w:cs="Calibri" w:eastAsia="Calibri" w:hAnsi="Calibri"/>
          <w:color w:val="1A1A2E"/>
          <w:sz w:val="20"/>
          <w:szCs w:val="20"/>
        </w:rPr>
        <w:t xml:space="preserve">Two-tier model (§3): the master contract qualifies; only Tier Two SOWs pay. Quotes go to the ordering agency, never DOA.</w:t>
      </w:r>
    </w:p>
    <w:p>
      <w:pPr>
        <w:pStyle w:val="ListParagraph"/>
        <w:numPr>
          <w:ilvl w:val="0"/>
          <w:numId w:val="2"/>
        </w:numPr>
        <w:spacing w:after="80"/>
      </w:pPr>
      <w:r>
        <w:rPr>
          <w:rFonts w:ascii="Calibri" w:cs="Calibri" w:eastAsia="Calibri" w:hAnsi="Calibri"/>
          <w:color w:val="1A1A2E"/>
          <w:sz w:val="20"/>
          <w:szCs w:val="20"/>
        </w:rPr>
        <w:t xml:space="preserve">Selection bands: ≤$10,000 direct select (agency may simply pick Visionblox); $10,001–$100,000 agency solicits ≥3 qualified contractors; &gt;$100,000 all 12 awardees solicited, detailed SOW, cost ≥20% of evaluation points.</w:t>
      </w:r>
    </w:p>
    <w:p>
      <w:pPr>
        <w:pStyle w:val="ListParagraph"/>
        <w:numPr>
          <w:ilvl w:val="0"/>
          <w:numId w:val="2"/>
        </w:numPr>
        <w:spacing w:after="80"/>
      </w:pPr>
      <w:r>
        <w:rPr>
          <w:rFonts w:ascii="Calibri" w:cs="Calibri" w:eastAsia="Calibri" w:hAnsi="Calibri"/>
          <w:color w:val="1A1A2E"/>
          <w:sz w:val="20"/>
          <w:szCs w:val="20"/>
        </w:rPr>
        <w:t xml:space="preserve">Implication for Relian pricing: the Exhibit D examples ($75K small system, $405K medium tax system) fall in the competitive bands. Every meaningful migration is a 3-to-12-way competition. The attestation differentiator — not price — is what wins those; cost is capped at a minimum of 20% of points above $100K, meaning technical merit can carry up to 80%.</w:t>
      </w:r>
    </w:p>
    <w:p>
      <w:pPr>
        <w:pStyle w:val="ListParagraph"/>
        <w:numPr>
          <w:ilvl w:val="0"/>
          <w:numId w:val="2"/>
        </w:numPr>
        <w:spacing w:after="80"/>
      </w:pPr>
      <w:r>
        <w:rPr>
          <w:rFonts w:ascii="Calibri" w:cs="Calibri" w:eastAsia="Calibri" w:hAnsi="Calibri"/>
          <w:color w:val="1A1A2E"/>
          <w:sz w:val="20"/>
          <w:szCs w:val="20"/>
        </w:rPr>
        <w:t xml:space="preserve">A deliberate wedge exists: the $8,000 Legacy Code Assessment and $12,000 Data Discovery services sit at or near the direct-select threshold. An agency can hand Visionblox an assessment engagement with no competition, and the assessment output (LOC inventory, complexity scoring, risk profile) naturally writes the SOW for the follow-on migration. This is the land-and-expand mechanism built into your own price list — use it.</w:t>
      </w:r>
    </w:p>
    <w:p>
      <w:pPr>
        <w:pStyle w:val="ListParagraph"/>
        <w:numPr>
          <w:ilvl w:val="0"/>
          <w:numId w:val="2"/>
        </w:numPr>
        <w:spacing w:after="80"/>
      </w:pPr>
      <w:r>
        <w:rPr>
          <w:rFonts w:ascii="Calibri" w:cs="Calibri" w:eastAsia="Calibri" w:hAnsi="Calibri"/>
          <w:color w:val="1A1A2E"/>
          <w:sz w:val="20"/>
          <w:szCs w:val="20"/>
        </w:rPr>
        <w:t xml:space="preserve">Section 15 cooperative purchasing: prices, terms, and conditions extend to public procurement units of Montana or any other state, agencies of the United States, and tribal procurement units (no written objection was filed pre-award, so the extension stands). This is the “every buyer” vector — one contract, four buyer classes. Confirmed in writing by the Contract Manager on Aug 6.</w:t>
      </w:r>
    </w:p>
    <w:p>
      <w:pPr>
        <w:pStyle w:val="ListParagraph"/>
        <w:numPr>
          <w:ilvl w:val="0"/>
          <w:numId w:val="2"/>
        </w:numPr>
        <w:spacing w:after="80"/>
      </w:pPr>
      <w:r>
        <w:rPr>
          <w:rFonts w:ascii="Calibri" w:cs="Calibri" w:eastAsia="Calibri" w:hAnsi="Calibri"/>
          <w:color w:val="1A1A2E"/>
          <w:sz w:val="20"/>
          <w:szCs w:val="20"/>
        </w:rPr>
        <w:t xml:space="preserve">Revenue risks to price in: termination for convenience on 30 days’ notice with payment only through the effective date (§9.2); mandatory funding-out termination (§9.3); 30-day payment terms; renewal requires negotiation and the State can simply not renew if cost adjustment talks fail (§2.2). Structure Tier Two SOWs with milestone payments, never back-loaded.</w:t>
      </w:r>
    </w:p>
    <w:p>
      <w:pPr>
        <w:pStyle w:val="ListParagraph"/>
        <w:numPr>
          <w:ilvl w:val="0"/>
          <w:numId w:val="2"/>
        </w:numPr>
        <w:spacing w:after="80"/>
      </w:pPr>
      <w:r>
        <w:rPr>
          <w:rFonts w:ascii="Calibri" w:cs="Calibri" w:eastAsia="Calibri" w:hAnsi="Calibri"/>
          <w:color w:val="1A1A2E"/>
          <w:sz w:val="20"/>
          <w:szCs w:val="20"/>
        </w:rPr>
        <w:t xml:space="preserve">The 10-year pricing rhythm: Exhibit D fixes Relian per-LOC rates “for the contract term regardless of year” — against a decade of potential runway, that is real inflation exposure at $3.00/LOC. The relief valve is Exhibit A §2.2 (cost adjustments negotiable at each renewal), and Exhibit A outranks Exhibit D in the §7.2 order of precedence. Practical rule: rates hold within each term and correct at renewal boundaries; every renewal must be earned, so the attestation differentiator is also the renewal-defense strategy.</w:t>
      </w:r>
    </w:p>
    <w:p>
      <w:pPr>
        <w:pStyle w:val="Heading1"/>
        <w:spacing w:after="140" w:before="280"/>
      </w:pPr>
      <w:r>
        <w:rPr>
          <w:rFonts w:ascii="Calibri" w:cs="Calibri" w:eastAsia="Calibri" w:hAnsi="Calibri"/>
          <w:b/>
          <w:bCs/>
          <w:color w:val="0F4C81"/>
          <w:sz w:val="27"/>
          <w:szCs w:val="27"/>
        </w:rPr>
        <w:t xml:space="preserve">4. Exhibit D Claims Audit — The Core Reconciliation</w:t>
      </w:r>
    </w:p>
    <w:p>
      <w:pPr>
        <w:spacing w:after="120"/>
      </w:pPr>
      <w:r>
        <w:rPr>
          <w:rFonts w:ascii="Calibri" w:cs="Calibri" w:eastAsia="Calibri" w:hAnsi="Calibri"/>
          <w:color w:val="1A1A2E"/>
          <w:sz w:val="20"/>
          <w:szCs w:val="20"/>
        </w:rPr>
        <w:t xml:space="preserve">Each capability claim in Exhibit D §1.1 (“Per-LOC Pricing Includes”) graded against the build as it exists on August 8, 2026. Grades: MET (measured evidence exists), SCOPE-LIMITED (true on the benched scope, not the implied general scope), GAP (no honest evidence today), ADMIN (process, not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760"/>
        <w:gridCol w:w="1200"/>
        <w:gridCol w:w="1300"/>
      </w:tblGrid>
      <w:tr>
        <w:trPr>
          <w:tblHeader/>
        </w:trPr>
        <w:tc>
          <w:tcPr>
            <w:tcW w:type="dxa" w:w="31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Contractual claim (Exhibit D)</w:t>
            </w:r>
          </w:p>
        </w:tc>
        <w:tc>
          <w:tcPr>
            <w:tcW w:type="dxa" w:w="37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Build reality (Trutina-graded)</w:t>
            </w:r>
          </w:p>
        </w:tc>
        <w:tc>
          <w:tcPr>
            <w:tcW w:type="dxa" w:w="12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Grade</w:t>
            </w:r>
          </w:p>
        </w:tc>
        <w:tc>
          <w:tcPr>
            <w:tcW w:type="dxa" w:w="13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Action</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“Automated code transformation with 95%+ semantic preservation”</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 MEASURED on committed scope: C1 deterministic transpiler, BER 1.0000 on 300 sealed held-out vectors, build rate 1.00, CI-gated on main. Honest failure (no attestation) on unsupported COBOL constructs. The 95% claim is exceeded where the transpiler operates — and undefined outside it.</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8A6D00"/>
                <w:sz w:val="17"/>
                <w:szCs w:val="17"/>
              </w:rPr>
              <w:t xml:space="preserve">SCOPE-LIMITED</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Quote only supported-construct scope; assessment engagement determines coverage per codebase before any migration quote</w:t>
            </w:r>
          </w:p>
        </w:tc>
      </w:tr>
      <w:tr>
        <w:tc>
          <w:tcPr>
            <w:tcW w:type="dxa" w:w="31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“Multi-strategy automated test generation (80%+ coverage target)”</w:t>
            </w:r>
          </w:p>
        </w:tc>
        <w:tc>
          <w:tcPr>
            <w:tcW w:type="dxa" w:w="37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 MEASURED: branch coverage 0.8824 on corpus — clears the 80% target. Stated as a target in Exhibit D, which the build meets on benched programs.</w:t>
            </w:r>
          </w:p>
        </w:tc>
        <w:tc>
          <w:tcPr>
            <w:tcW w:type="dxa" w:w="1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E6B3C"/>
                <w:sz w:val="17"/>
                <w:szCs w:val="17"/>
              </w:rPr>
              <w:t xml:space="preserve">MET</w:t>
            </w:r>
          </w:p>
        </w:tc>
        <w:tc>
          <w:tcPr>
            <w:tcW w:type="dxa" w:w="1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Maintain as CI threshold; report measured figure per project</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“AI-powered semantic analysis and business logic extraction”</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The transform core is deterministic and rule-based — by design, and that is a compliance advantage under Exhibit C’s generative-AI clause (Section 5). “AI-powered” framing without specificity violates the external-claims rule. Analysis/extraction components exist in the pipeline; their AI content must be described precisely per SOW.</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8A6D00"/>
                <w:sz w:val="17"/>
                <w:szCs w:val="17"/>
              </w:rPr>
              <w:t xml:space="preserve">PARTIAL</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Reframe in every Tier Two response: “deterministic transform core with AI-assisted analysis, fully disclosed per Exhibit C”</w:t>
            </w:r>
          </w:p>
        </w:tc>
      </w:tr>
      <w:tr>
        <w:tc>
          <w:tcPr>
            <w:tcW w:type="dxa" w:w="31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“ML-based risk scoring with per-function defect prediction (85%+ accuracy)”</w:t>
            </w:r>
          </w:p>
        </w:tc>
        <w:tc>
          <w:tcPr>
            <w:tcW w:type="dxa" w:w="37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Fabricated accuracy metrics were removed from migration_intelligence.py in remediation. No measured model exists today. An 85% accuracy claim currently has zero evidentiary support.</w:t>
            </w:r>
          </w:p>
        </w:tc>
        <w:tc>
          <w:tcPr>
            <w:tcW w:type="dxa" w:w="1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8B2020"/>
                <w:sz w:val="17"/>
                <w:szCs w:val="17"/>
              </w:rPr>
              <w:t xml:space="preserve">GAP</w:t>
            </w:r>
          </w:p>
        </w:tc>
        <w:tc>
          <w:tcPr>
            <w:tcW w:type="dxa" w:w="1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Build-and-measure against labeled defect data, or exclude from Tier Two quotes until measured. Never quote 85% unmeasured</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“Blockchain attestation of migration quality on Solana (immutable audit trail)”</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Simulated Solana client was removed in remediation (simulated:true never ships externally). The real audit trail is the Ed25519-signed, hash-chained Aletheia-pattern ledger — independently re-derivable, which is stronger evidence than a chain write alone. But the contract word is “Solana.”</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8B2020"/>
                <w:sz w:val="17"/>
                <w:szCs w:val="17"/>
              </w:rPr>
              <w:t xml:space="preserve">GAP — cheap close</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Anchor the ledger root hash to Solana mainnet per attestation (trivial cost, small build). Closes the claim honestly and upgrades it: chain-anchored AND re-derivable</w:t>
            </w:r>
          </w:p>
        </w:tc>
      </w:tr>
      <w:tr>
        <w:tc>
          <w:tcPr>
            <w:tcW w:type="dxa" w:w="31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Migration paths: Ada→Rust, FORTRAN→C++, MUMPS→Node.js, PL/I→C#</w:t>
            </w:r>
          </w:p>
        </w:tc>
        <w:tc>
          <w:tcPr>
            <w:tcW w:type="dxa" w:w="37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No transpiler, no benchmark, no oracle corpus exists for any pair beyond COBOL→Java. Priced in the contract at fixed per-LOC rates for the full term.</w:t>
            </w:r>
          </w:p>
        </w:tc>
        <w:tc>
          <w:tcPr>
            <w:tcW w:type="dxa" w:w="1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8B2020"/>
                <w:sz w:val="17"/>
                <w:szCs w:val="17"/>
              </w:rPr>
              <w:t xml:space="preserve">GAP</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RELIAN-BENCH pattern is replicable per pair. Rule: no pair is quotable until its bench is committed and a transpiler passes held-out. Sequence by demand signal (MUMPS if healthcare demand appears via cooperative channel)</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“Post-migration defect support for 90 days” + platform tiers (dashboards, concurrent projects, SLAs, 15% subscriber discount)</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Process and product-surface commitments: defect-support SOP, risk dashboards, support-tier operations, 99.9% uptime SLA with service credits, P1 15-minute response. None yet operationalized for a paying customer.</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4A4A6A"/>
                <w:sz w:val="17"/>
                <w:szCs w:val="17"/>
              </w:rPr>
              <w:t xml:space="preserve">ADMIN / PARTIAL</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Draft SOPs before first SOW; do not sell platform subscription until dashboard surface exists; SLA credits are real money — price accordingly</w:t>
            </w:r>
          </w:p>
        </w:tc>
      </w:tr>
    </w:tbl>
    <w:p>
      <w:pPr>
        <w:spacing w:after="120" w:before="100"/>
      </w:pPr>
      <w:r>
        <w:rPr>
          <w:rFonts w:ascii="Calibri" w:cs="Calibri" w:eastAsia="Calibri" w:hAnsi="Calibri"/>
          <w:i/>
          <w:iCs/>
          <w:color w:val="1A1A2E"/>
          <w:sz w:val="18"/>
          <w:szCs w:val="18"/>
        </w:rPr>
        <w:t xml:space="preserve">Reading the audit correctly: this is not a crisis — it is a sequencing constraint. The Montana-lesson principle (integrity between what a product claims and how it is built) now has contractual teeth. The two-tier structure means no April claim binds a deliverable until you quote it in a Tier Two response. The exposure is entirely controllable at the quote gate.</w:t>
      </w:r>
    </w:p>
    <w:p>
      <w:pPr>
        <w:pStyle w:val="Heading1"/>
        <w:spacing w:after="140" w:before="280"/>
      </w:pPr>
      <w:r>
        <w:rPr>
          <w:rFonts w:ascii="Calibri" w:cs="Calibri" w:eastAsia="Calibri" w:hAnsi="Calibri"/>
          <w:b/>
          <w:bCs/>
          <w:color w:val="0F4C81"/>
          <w:sz w:val="27"/>
          <w:szCs w:val="27"/>
        </w:rPr>
        <w:t xml:space="preserve">5. Compliance Obligations — Exhibits A and C</w:t>
      </w:r>
    </w:p>
    <w:p>
      <w:pPr>
        <w:pStyle w:val="Heading2"/>
        <w:spacing w:after="100" w:before="200"/>
      </w:pPr>
      <w:r>
        <w:rPr>
          <w:rFonts w:ascii="Calibri" w:cs="Calibri" w:eastAsia="Calibri" w:hAnsi="Calibri"/>
          <w:b/>
          <w:bCs/>
          <w:color w:val="1A1A2E"/>
          <w:sz w:val="22"/>
          <w:szCs w:val="22"/>
        </w:rPr>
        <w:t xml:space="preserve">5.1 Where the build already wins</w:t>
      </w:r>
    </w:p>
    <w:p>
      <w:pPr>
        <w:pStyle w:val="ListParagraph"/>
        <w:numPr>
          <w:ilvl w:val="0"/>
          <w:numId w:val="2"/>
        </w:numPr>
        <w:spacing w:after="80"/>
      </w:pPr>
      <w:r>
        <w:rPr>
          <w:rFonts w:ascii="Calibri" w:cs="Calibri" w:eastAsia="Calibri" w:hAnsi="Calibri"/>
          <w:color w:val="1A1A2E"/>
          <w:sz w:val="20"/>
          <w:szCs w:val="20"/>
        </w:rPr>
        <w:t xml:space="preserve">US-only data, no offshore access (Exhibit C §1e, Data Location): MET by design. On-premise deployment option and local inference mean State data need never leave the perimeter — lead with this in every quote.</w:t>
      </w:r>
    </w:p>
    <w:p>
      <w:pPr>
        <w:pStyle w:val="ListParagraph"/>
        <w:numPr>
          <w:ilvl w:val="0"/>
          <w:numId w:val="2"/>
        </w:numPr>
        <w:spacing w:after="80"/>
      </w:pPr>
      <w:r>
        <w:rPr>
          <w:rFonts w:ascii="Calibri" w:cs="Calibri" w:eastAsia="Calibri" w:hAnsi="Calibri"/>
          <w:color w:val="1A1A2E"/>
          <w:sz w:val="20"/>
          <w:szCs w:val="20"/>
        </w:rPr>
        <w:t xml:space="preserve">Generative-AI clause (Exhibit C §15, Use of AI): the deterministic transform core means no State source code enters generative-AI queries during transformation — most competitors cannot say this. Obligations that remain: disclose any generative AI components before performance, annotate AI-created deliverables with source citations, attest models use only properly licensed material (Mistral-7B: Apache 2.0 — attestable), never use State data in queries or training without written permission.</w:t>
      </w:r>
    </w:p>
    <w:p>
      <w:pPr>
        <w:pStyle w:val="ListParagraph"/>
        <w:numPr>
          <w:ilvl w:val="0"/>
          <w:numId w:val="2"/>
        </w:numPr>
        <w:spacing w:after="80"/>
      </w:pPr>
      <w:r>
        <w:rPr>
          <w:rFonts w:ascii="Calibri" w:cs="Calibri" w:eastAsia="Calibri" w:hAnsi="Calibri"/>
          <w:color w:val="1A1A2E"/>
          <w:sz w:val="20"/>
          <w:szCs w:val="20"/>
        </w:rPr>
        <w:t xml:space="preserve">Audit access and annual assurance (Exhibit A §3.1; Exhibit C System Security): the signed ledger, CI history, and preserved honest-failure record (run #5) are exactly the “detailed accounting” an assurance statement requires. The evidence discipline is the compliance program.</w:t>
      </w:r>
    </w:p>
    <w:p>
      <w:pPr>
        <w:pStyle w:val="ListParagraph"/>
        <w:numPr>
          <w:ilvl w:val="0"/>
          <w:numId w:val="2"/>
        </w:numPr>
        <w:spacing w:after="80"/>
      </w:pPr>
      <w:r>
        <w:rPr>
          <w:rFonts w:ascii="Calibri" w:cs="Calibri" w:eastAsia="Calibri" w:hAnsi="Calibri"/>
          <w:color w:val="1A1A2E"/>
          <w:sz w:val="20"/>
          <w:szCs w:val="20"/>
        </w:rPr>
        <w:t xml:space="preserve">IP ownership (Exhibit C §10): all right, title, and interest in the software — including State-suggested improvements — belongs exclusively to Contractor. Unusually favorable; protect it by keeping Relian development in Visionblox repos, never in State environments.</w:t>
      </w:r>
    </w:p>
    <w:p>
      <w:pPr>
        <w:pStyle w:val="Heading2"/>
        <w:spacing w:after="100" w:before="200"/>
      </w:pPr>
      <w:r>
        <w:rPr>
          <w:rFonts w:ascii="Calibri" w:cs="Calibri" w:eastAsia="Calibri" w:hAnsi="Calibri"/>
          <w:b/>
          <w:bCs/>
          <w:color w:val="1A1A2E"/>
          <w:sz w:val="22"/>
          <w:szCs w:val="22"/>
        </w:rPr>
        <w:t xml:space="preserve">5.2 Gaps and lead-time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Obligation</w:t>
            </w:r>
          </w:p>
        </w:tc>
        <w:tc>
          <w:tcPr>
            <w:tcW w:type="dxa" w:w="41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Requirement</w:t>
            </w:r>
          </w:p>
        </w:tc>
        <w:tc>
          <w:tcPr>
            <w:tcW w:type="dxa" w:w="27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State / Action</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Security certification (Exhibit C §15)</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Proof of GovRAMP, FedRAMP, ISO 27001, HITRUST CSF — or “other industry-recognized certification, as approved by State”. Independent audit reports “typically SOC 2 Type 2” for systems delivering services.</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8B2020"/>
                <w:sz w:val="17"/>
                <w:szCs w:val="17"/>
              </w:rPr>
              <w:t xml:space="preserve">GAP with a lane: none held today; the “other certification as approved” clause is the negotiation path. Propose CMMC L2 self-assessment + NIST SP 800-171 SSP as interim evidence, with SOC 2 Type 2 timeline tied to first moderate-data SOW. Raise at kickoff — all 12 awardees face this; learn what State will accept. ROI note: amortized over the confirmed 10-year runway and four buyer classes, certification is franchise infrastructure, not contract overhead — and it is the federal-channel unlock</w:t>
            </w:r>
          </w:p>
        </w:tc>
      </w:tr>
      <w:tr>
        <w:tc>
          <w:tcPr>
            <w:tcW w:type="dxa" w:w="25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NIST SP 800-53 Moderate alignment + SSP (Exhibit C)</w:t>
            </w:r>
          </w:p>
        </w:tc>
        <w:tc>
          <w:tcPr>
            <w:tcW w:type="dxa" w:w="41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Systems receiving/processing State data must meet 800-53 Moderate controls; SOWs must include SSP-creation assistance; State may require a responsibility matrix.</w:t>
            </w:r>
          </w:p>
        </w:tc>
        <w:tc>
          <w:tcPr>
            <w:tcW w:type="dxa" w:w="27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8A6D00"/>
                <w:sz w:val="17"/>
                <w:szCs w:val="17"/>
              </w:rPr>
              <w:t xml:space="preserve">IN MOTION: overlaps heavily with the CMMC L2 / 800-171 self-assessment already on the roadmap — same control families, one evidence base serves both. Build the SSP template once, reuse per SOW</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Encryption (Exhibit C)</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All data encrypted in transit and at rest; FIPS 140-2 validated cryptography; negotiated key management.</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8A6D00"/>
                <w:sz w:val="17"/>
                <w:szCs w:val="17"/>
              </w:rPr>
              <w:t xml:space="preserve">VERIFY: implementation exists but FIPS 140-2 validation of the specific modules must be confirmed and documented before first data-touching SOW</w:t>
            </w:r>
          </w:p>
        </w:tc>
      </w:tr>
      <w:tr>
        <w:tc>
          <w:tcPr>
            <w:tcW w:type="dxa" w:w="25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Insurance (Exhibit A §8; Exhibit C §9)</w:t>
            </w:r>
          </w:p>
        </w:tc>
        <w:tc>
          <w:tcPr>
            <w:tcW w:type="dxa" w:w="41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CGL $2M/occurrence + $2M aggregate, State as additional insured, subrogation waiver, A- rated insurer, certificate to SPSD; workers’ comp or independent-contractor exemption; cyber $6M aggregate (privacy notification, credit monitoring, forensics, regulatory fines, third-party liability).</w:t>
            </w:r>
          </w:p>
        </w:tc>
        <w:tc>
          <w:tcPr>
            <w:tcW w:type="dxa" w:w="27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8B2020"/>
                <w:sz w:val="17"/>
                <w:szCs w:val="17"/>
              </w:rPr>
              <w:t xml:space="preserve">CONFIRM/PROCURE: the one obligation that cannot be engineered around and directly conflicts with the zero-budget constraint. Get quotes now — tech E&amp;O + cyber at $6M for a small consultancy is a real annual cost that belongs in Tier Two pricing. Certificate due at execution</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Operational SOPs (Exhibits A, C)</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Breach notification to State CISO without unreasonable delay (2-6-1503, MCA); 90-day post-termination data preservation then NIST 800-88 destruction + certificate; legal-request notification; 6-year record retention; annual security-awareness training certs; background checks for anyone touching State data; secure email relay, no mt.gov spoofing.</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4A4A6A"/>
                <w:sz w:val="17"/>
                <w:szCs w:val="17"/>
              </w:rPr>
              <w:t xml:space="preserve">ADMIN: one SOP pack, drafted once, referenced in every SOW. None exists yet; all are cheap to produce and expensive to lack during an incident</w:t>
            </w:r>
          </w:p>
        </w:tc>
      </w:tr>
      <w:tr>
        <w:tc>
          <w:tcPr>
            <w:tcW w:type="dxa" w:w="25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Execution-day items (Exhibit A §2)</w:t>
            </w:r>
          </w:p>
        </w:tc>
        <w:tc>
          <w:tcPr>
            <w:tcW w:type="dxa" w:w="41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Banking info for EFT within 10 business days of execution; contract number SPB26-0608GW-VSNBLX on every invoice, package, and correspondence (State not obligated to pay without it); invoices due first business day of month; 30-day payment.</w:t>
            </w:r>
          </w:p>
        </w:tc>
        <w:tc>
          <w:tcPr>
            <w:tcW w:type="dxa" w:w="27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4A4A6A"/>
                <w:sz w:val="17"/>
                <w:szCs w:val="17"/>
              </w:rPr>
              <w:t xml:space="preserve">ADMIN: calendar the 10-day clock from signature; build the invoice template now with the contract number baked in</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Federal terms (Exhibit B)</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Federal funds are behind this contract. Live items for a software vendor: SAM registration current with UEI (held: H4X2Z7R9E3E3); Byrd anti-lobbying certification for awards &gt;$100K; debarment screening of any subcontractor; §889 covered-telecom prohibition; invention reporting under 37 CFR Part 401.</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8A6D00"/>
                <w:sz w:val="17"/>
                <w:szCs w:val="17"/>
              </w:rPr>
              <w:t xml:space="preserve">MOSTLY MET / ONE IP FLAG: 37 CFR 401 means inventions arising in performance carry federal reporting duties. Protect background IP: git history and LEDGER timestamps prove the transpiler, verifier, and ledger predate performance — keep that provenance line bright</w:t>
            </w:r>
          </w:p>
        </w:tc>
      </w:tr>
    </w:tbl>
    <w:p>
      <w:pPr>
        <w:pStyle w:val="Heading1"/>
        <w:spacing w:after="140" w:before="280"/>
      </w:pPr>
      <w:r>
        <w:rPr>
          <w:rFonts w:ascii="Calibri" w:cs="Calibri" w:eastAsia="Calibri" w:hAnsi="Calibri"/>
          <w:b/>
          <w:bCs/>
          <w:color w:val="0F4C81"/>
          <w:sz w:val="27"/>
          <w:szCs w:val="27"/>
        </w:rPr>
        <w:t xml:space="preserve">6. The “Every Buyer” Map — One Build, Four Channels</w:t>
      </w:r>
    </w:p>
    <w:p>
      <w:pPr>
        <w:spacing w:after="120"/>
      </w:pPr>
      <w:r>
        <w:rPr>
          <w:rFonts w:ascii="Calibri" w:cs="Calibri" w:eastAsia="Calibri" w:hAnsi="Calibri"/>
          <w:color w:val="1A1A2E"/>
          <w:sz w:val="20"/>
          <w:szCs w:val="20"/>
        </w:rPr>
        <w:t xml:space="preserve">Section 15 makes the contract’s prices, terms, and conditions available to four buyer classes without new procurement. The build requirement is the same product held to the same evidence bar — what changes per class is the demand thesis and the compliance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3200"/>
      </w:tblGrid>
      <w:tr>
        <w:trPr>
          <w:tblHeader/>
        </w:trPr>
        <w:tc>
          <w:tcPr>
            <w:tcW w:type="dxa" w:w="23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Buyer class</w:t>
            </w:r>
          </w:p>
        </w:tc>
        <w:tc>
          <w:tcPr>
            <w:tcW w:type="dxa" w:w="38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Demand thesis</w:t>
            </w:r>
          </w:p>
        </w:tc>
        <w:tc>
          <w:tcPr>
            <w:tcW w:type="dxa" w:w="32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Build/positioning implication</w:t>
            </w:r>
          </w:p>
        </w:tc>
      </w:tr>
      <w:tr>
        <w:tc>
          <w:tcPr>
            <w:tcW w:type="dxa" w:w="2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Montana state agencies</w:t>
            </w:r>
          </w:p>
        </w:tc>
        <w:tc>
          <w:tcPr>
            <w:tcW w:type="dxa" w:w="38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Executive-branch COBOL beachhead is dead (mainframe decommissioned 2021; MPERA/TRS/MVD modernized). Residual leads: MSF, DLI unemployment insurance — both queued for MAPS kickoff.</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Lead with Independent Transformation Attestation (K3 scope): agencies running any vendor’s modernization need a neutral referee. Assessment engagements (≤$10K direct-select) open doors</w:t>
            </w:r>
          </w:p>
        </w:tc>
      </w:tr>
      <w:tr>
        <w:tc>
          <w:tcPr>
            <w:tcW w:type="dxa" w:w="2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Montana locals, counties, districts, tribal units</w:t>
            </w:r>
          </w:p>
        </w:tc>
        <w:tc>
          <w:tcPr>
            <w:tcW w:type="dxa" w:w="38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County property tax, assessment, clerk-and-recorder systems — the unverified third leg of K1. Cooperative MOU with SPSD required per purchaser.</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Ask at kickoff how the MOU process works operationally; a one-page cooperative-purchaser onboarding sheet becomes a sales asset</w:t>
            </w:r>
          </w:p>
        </w:tc>
      </w:tr>
      <w:tr>
        <w:tc>
          <w:tcPr>
            <w:tcW w:type="dxa" w:w="2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Other states</w:t>
            </w:r>
          </w:p>
        </w:tc>
        <w:tc>
          <w:tcPr>
            <w:tcW w:type="dxa" w:w="38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States that never decommissioned their mainframes — UI systems especially — can ride Montana’s vehicle instead of running their own RFP. This is where real COBOL volume lives.</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The Montana contract becomes a national sales instrument. Evidence discipline is the differentiator no incumbent matches: committed benchmarks, sealed vectors, re-derivable attestation</w:t>
            </w:r>
          </w:p>
        </w:tc>
      </w:tr>
      <w:tr>
        <w:tc>
          <w:tcPr>
            <w:tcW w:type="dxa" w:w="2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Federal agencies</w:t>
            </w:r>
          </w:p>
        </w:tc>
        <w:tc>
          <w:tcPr>
            <w:tcW w:type="dxa" w:w="38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Section 15 names “an agency of the United States.” Federal legacy modernization demand is structural; veteran-owned status compounds.</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Federal buyers will trip the hardest compliance gates first (certifications, 800-53). The Section 5.2 certification lane is therefore not Montana housekeeping — it is the federal-channel unlock</w:t>
            </w:r>
          </w:p>
        </w:tc>
      </w:tr>
    </w:tbl>
    <w:p>
      <w:pPr>
        <w:pStyle w:val="Heading1"/>
        <w:spacing w:after="140" w:before="280"/>
      </w:pPr>
      <w:r>
        <w:rPr>
          <w:rFonts w:ascii="Calibri" w:cs="Calibri" w:eastAsia="Calibri" w:hAnsi="Calibri"/>
          <w:b/>
          <w:bCs/>
          <w:color w:val="0F4C81"/>
          <w:sz w:val="27"/>
          <w:szCs w:val="27"/>
        </w:rPr>
        <w:t xml:space="preserve">7. Priority Sequence</w:t>
      </w:r>
    </w:p>
    <w:p>
      <w:pPr>
        <w:pStyle w:val="Heading2"/>
        <w:spacing w:after="100" w:before="200"/>
      </w:pPr>
      <w:r>
        <w:rPr>
          <w:rFonts w:ascii="Calibri" w:cs="Calibri" w:eastAsia="Calibri" w:hAnsi="Calibri"/>
          <w:b/>
          <w:bCs/>
          <w:color w:val="1A1A2E"/>
          <w:sz w:val="22"/>
          <w:szCs w:val="22"/>
        </w:rPr>
        <w:t xml:space="preserve">Now — before signature</w:t>
      </w:r>
    </w:p>
    <w:p>
      <w:pPr>
        <w:pStyle w:val="ListParagraph"/>
        <w:numPr>
          <w:ilvl w:val="0"/>
          <w:numId w:val="2"/>
        </w:numPr>
        <w:spacing w:after="80"/>
      </w:pPr>
      <w:r>
        <w:rPr>
          <w:rFonts w:ascii="Calibri" w:cs="Calibri" w:eastAsia="Calibri" w:hAnsi="Calibri"/>
          <w:color w:val="1A1A2E"/>
          <w:sz w:val="20"/>
          <w:szCs w:val="20"/>
        </w:rPr>
        <w:t xml:space="preserve">Resolve F1–F3 with Grace Waring (signature-block address/EIN, 7-vs-10-year duration, mechanism checkbox). One email; can ride with kickoff logistics.</w:t>
      </w:r>
    </w:p>
    <w:p>
      <w:pPr>
        <w:pStyle w:val="ListParagraph"/>
        <w:numPr>
          <w:ilvl w:val="0"/>
          <w:numId w:val="2"/>
        </w:numPr>
        <w:spacing w:after="80"/>
      </w:pPr>
      <w:r>
        <w:rPr>
          <w:rFonts w:ascii="Calibri" w:cs="Calibri" w:eastAsia="Calibri" w:hAnsi="Calibri"/>
          <w:color w:val="1A1A2E"/>
          <w:sz w:val="20"/>
          <w:szCs w:val="20"/>
        </w:rPr>
        <w:t xml:space="preserve">Get insurance quotes (CGL $2M, cyber $6M, WC/exemption) — longest-lead execution-day item and a Tier Two pricing input.</w:t>
      </w:r>
    </w:p>
    <w:p>
      <w:pPr>
        <w:pStyle w:val="Heading2"/>
        <w:spacing w:after="100" w:before="200"/>
      </w:pPr>
      <w:r>
        <w:rPr>
          <w:rFonts w:ascii="Calibri" w:cs="Calibri" w:eastAsia="Calibri" w:hAnsi="Calibri"/>
          <w:b/>
          <w:bCs/>
          <w:color w:val="1A1A2E"/>
          <w:sz w:val="22"/>
          <w:szCs w:val="22"/>
        </w:rPr>
        <w:t xml:space="preserve">Execution + 10 business days</w:t>
      </w:r>
    </w:p>
    <w:p>
      <w:pPr>
        <w:pStyle w:val="ListParagraph"/>
        <w:numPr>
          <w:ilvl w:val="0"/>
          <w:numId w:val="2"/>
        </w:numPr>
        <w:spacing w:after="80"/>
      </w:pPr>
      <w:r>
        <w:rPr>
          <w:rFonts w:ascii="Calibri" w:cs="Calibri" w:eastAsia="Calibri" w:hAnsi="Calibri"/>
          <w:color w:val="1A1A2E"/>
          <w:sz w:val="20"/>
          <w:szCs w:val="20"/>
        </w:rPr>
        <w:t xml:space="preserve">Submit banking info for EFT; file certificates of insurance with SPSD; stand up the invoice template with SPB26-0608GW-VSNBLX baked in; calendar the 6-year record-retention rule.</w:t>
      </w:r>
    </w:p>
    <w:p>
      <w:pPr>
        <w:pStyle w:val="Heading2"/>
        <w:spacing w:after="100" w:before="200"/>
      </w:pPr>
      <w:r>
        <w:rPr>
          <w:rFonts w:ascii="Calibri" w:cs="Calibri" w:eastAsia="Calibri" w:hAnsi="Calibri"/>
          <w:b/>
          <w:bCs/>
          <w:color w:val="1A1A2E"/>
          <w:sz w:val="22"/>
          <w:szCs w:val="22"/>
        </w:rPr>
        <w:t xml:space="preserve">Before the first Tier Two quote (the hard gate)</w:t>
      </w:r>
    </w:p>
    <w:p>
      <w:pPr>
        <w:pStyle w:val="ListParagraph"/>
        <w:numPr>
          <w:ilvl w:val="0"/>
          <w:numId w:val="2"/>
        </w:numPr>
        <w:spacing w:after="80"/>
      </w:pPr>
      <w:r>
        <w:rPr>
          <w:rFonts w:ascii="Calibri" w:cs="Calibri" w:eastAsia="Calibri" w:hAnsi="Calibri"/>
          <w:color w:val="1A1A2E"/>
          <w:sz w:val="20"/>
          <w:szCs w:val="20"/>
        </w:rPr>
        <w:t xml:space="preserve">Quotable-capability matrix, signed off internally: COBOL→Java on supported constructs, measured BER/build/coverage, attestation ledger, assessment services. Nothing else is quotable today.</w:t>
      </w:r>
    </w:p>
    <w:p>
      <w:pPr>
        <w:pStyle w:val="ListParagraph"/>
        <w:numPr>
          <w:ilvl w:val="0"/>
          <w:numId w:val="2"/>
        </w:numPr>
        <w:spacing w:after="80"/>
      </w:pPr>
      <w:r>
        <w:rPr>
          <w:rFonts w:ascii="Calibri" w:cs="Calibri" w:eastAsia="Calibri" w:hAnsi="Calibri"/>
          <w:color w:val="1A1A2E"/>
          <w:sz w:val="20"/>
          <w:szCs w:val="20"/>
        </w:rPr>
        <w:t xml:space="preserve">Solana anchoring decision: build real root-hash anchoring (recommended — closes the Exhibit D claim honestly and cheaply) or explicitly scope attestation as “Ed25519 hash-chained ledger” in each SOW until built.</w:t>
      </w:r>
    </w:p>
    <w:p>
      <w:pPr>
        <w:pStyle w:val="ListParagraph"/>
        <w:numPr>
          <w:ilvl w:val="0"/>
          <w:numId w:val="2"/>
        </w:numPr>
        <w:spacing w:after="80"/>
      </w:pPr>
      <w:r>
        <w:rPr>
          <w:rFonts w:ascii="Calibri" w:cs="Calibri" w:eastAsia="Calibri" w:hAnsi="Calibri"/>
          <w:color w:val="1A1A2E"/>
          <w:sz w:val="20"/>
          <w:szCs w:val="20"/>
        </w:rPr>
        <w:t xml:space="preserve">SOP pack v1: breach notification, data disposition, defect-support process, legal-request handling, training/background-check attestations.</w:t>
      </w:r>
    </w:p>
    <w:p>
      <w:pPr>
        <w:pStyle w:val="ListParagraph"/>
        <w:numPr>
          <w:ilvl w:val="0"/>
          <w:numId w:val="2"/>
        </w:numPr>
        <w:spacing w:after="80"/>
      </w:pPr>
      <w:r>
        <w:rPr>
          <w:rFonts w:ascii="Calibri" w:cs="Calibri" w:eastAsia="Calibri" w:hAnsi="Calibri"/>
          <w:color w:val="1A1A2E"/>
          <w:sz w:val="20"/>
          <w:szCs w:val="20"/>
        </w:rPr>
        <w:t xml:space="preserve">SSP template on the 800-171/CMMC L2 evidence base; certification-lane conversation with State (kickoff agenda item).</w:t>
      </w:r>
    </w:p>
    <w:p>
      <w:pPr>
        <w:pStyle w:val="Heading2"/>
        <w:spacing w:after="100" w:before="200"/>
      </w:pPr>
      <w:r>
        <w:rPr>
          <w:rFonts w:ascii="Calibri" w:cs="Calibri" w:eastAsia="Calibri" w:hAnsi="Calibri"/>
          <w:b/>
          <w:bCs/>
          <w:color w:val="1A1A2E"/>
          <w:sz w:val="22"/>
          <w:szCs w:val="22"/>
        </w:rPr>
        <w:t xml:space="preserve">Strategic — sequenced by demand signal</w:t>
      </w:r>
    </w:p>
    <w:p>
      <w:pPr>
        <w:pStyle w:val="ListParagraph"/>
        <w:numPr>
          <w:ilvl w:val="0"/>
          <w:numId w:val="2"/>
        </w:numPr>
        <w:spacing w:after="80"/>
      </w:pPr>
      <w:r>
        <w:rPr>
          <w:rFonts w:ascii="Calibri" w:cs="Calibri" w:eastAsia="Calibri" w:hAnsi="Calibri"/>
          <w:color w:val="1A1A2E"/>
          <w:sz w:val="20"/>
          <w:szCs w:val="20"/>
        </w:rPr>
        <w:t xml:space="preserve">ML risk scoring: build-and-measure or formally retire from quotes. No third option exists under Trutina.</w:t>
      </w:r>
    </w:p>
    <w:p>
      <w:pPr>
        <w:pStyle w:val="ListParagraph"/>
        <w:numPr>
          <w:ilvl w:val="0"/>
          <w:numId w:val="2"/>
        </w:numPr>
        <w:spacing w:after="80"/>
      </w:pPr>
      <w:r>
        <w:rPr>
          <w:rFonts w:ascii="Calibri" w:cs="Calibri" w:eastAsia="Calibri" w:hAnsi="Calibri"/>
          <w:color w:val="1A1A2E"/>
          <w:sz w:val="20"/>
          <w:szCs w:val="20"/>
        </w:rPr>
        <w:t xml:space="preserve">Additional language pairs: bench-first rule. Stand up a pair’s RELIAN-BENCH only when a real buyer signal exists (MUMPS if healthcare demand surfaces through the cooperative channel; the CAH thesis makes this the most likely second pair).</w:t>
      </w:r>
    </w:p>
    <w:p>
      <w:pPr>
        <w:pStyle w:val="ListParagraph"/>
        <w:numPr>
          <w:ilvl w:val="0"/>
          <w:numId w:val="2"/>
        </w:numPr>
        <w:spacing w:after="80"/>
      </w:pPr>
      <w:r>
        <w:rPr>
          <w:rFonts w:ascii="Calibri" w:cs="Calibri" w:eastAsia="Calibri" w:hAnsi="Calibri"/>
          <w:color w:val="1A1A2E"/>
          <w:sz w:val="20"/>
          <w:szCs w:val="20"/>
        </w:rPr>
        <w:t xml:space="preserve">Platform subscription surface (dashboards, support tiers): build when the first subscription prospect exists, not before — per-LOC project revenue does not require it.</w:t>
      </w:r>
    </w:p>
    <w:p>
      <w:pPr>
        <w:pBdr>
          <w:top w:val="single" w:color="D8DEE9" w:sz="6"/>
        </w:pBdr>
        <w:spacing w:before="240"/>
      </w:pPr>
      <w:r>
        <w:rPr>
          <w:rFonts w:ascii="Calibri" w:cs="Calibri" w:eastAsia="Calibri" w:hAnsi="Calibri"/>
          <w:i/>
          <w:iCs/>
          <w:color w:val="555555"/>
          <w:sz w:val="16"/>
          <w:szCs w:val="16"/>
        </w:rPr>
        <w:t xml:space="preserve">v1.1 — supersedes v1.0 (same date; pre-signature flags open). Prepared under ZCS-6 discipline and Trutina evidence governance. Contract citations are to SPB26-0608GW-VSNBLX (unsigned copy, Aug 8, 2026; flags F1–F3 resolved by Contract Manager confirmation). Build-state claims trace to git history, CI run records, and the v2.0 Execution Tracker. Visionblox internal distribution. Not legal advice; insurance scoping warrants licensed broker review.</w:t>
      </w:r>
    </w:p>
    <w:sectPr>
      <w:headerReference w:type="default" r:id="rId8"/>
      <w:footerReference w:type="default" r:id="rId9"/>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Bdr>
        <w:top w:val="single" w:sz="8" w:space="4" w:color="F7B801"/>
      </w:pBdr>
    </w:pPr>
    <w:r>
      <w:rPr>
        <w:rFonts w:ascii="Arial" w:hAnsi="Arial"/>
        <w:color w:val="8892A4"/>
        <w:sz w:val="15"/>
      </w:rPr>
      <w:t xml:space="preserve">VISIONBLOX LLC  |  INTERNAL — CONFIDENTIAL  |  Page </w:t>
    </w:r>
    <w:r>
      <w:rPr>
        <w:rFonts w:ascii="Arial" w:hAnsi="Arial"/>
        <w:color w:val="8892A4"/>
        <w:sz w:val="15"/>
      </w:rPr>
      <w:fldChar w:fldCharType="begin"/>
    </w:r>
    <w:r>
      <w:rPr>
        <w:rFonts w:ascii="Arial" w:hAnsi="Arial"/>
        <w:color w:val="8892A4"/>
        <w:sz w:val="15"/>
      </w:rPr>
      <w:instrText xml:space="preserve"> PAGE </w:instrText>
    </w:r>
    <w:r>
      <w:rPr>
        <w:rFonts w:ascii="Arial" w:hAnsi="Arial"/>
        <w:color w:val="8892A4"/>
        <w:sz w:val="15"/>
      </w:rPr>
      <w:fldChar w:fldCharType="end"/>
    </w:r>
    <w:r>
      <w:rPr>
        <w:rFonts w:ascii="Arial" w:hAnsi="Arial"/>
        <w:color w:val="8892A4"/>
        <w:sz w:val="15"/>
      </w:rPr>
      <w:t xml:space="preserve"> of </w:t>
    </w:r>
    <w:r>
      <w:rPr>
        <w:rFonts w:ascii="Arial" w:hAnsi="Arial"/>
        <w:color w:val="8892A4"/>
        <w:sz w:val="15"/>
      </w:rPr>
      <w:fldChar w:fldCharType="begin"/>
    </w:r>
    <w:r>
      <w:rPr>
        <w:rFonts w:ascii="Arial" w:hAnsi="Arial"/>
        <w:color w:val="8892A4"/>
        <w:sz w:val="15"/>
      </w:rPr>
      <w:instrText xml:space="preserve"> NUMPAGES </w:instrText>
    </w:r>
    <w:r>
      <w:rPr>
        <w:rFonts w:ascii="Arial" w:hAnsi="Arial"/>
        <w:color w:val="8892A4"/>
        <w:sz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3600"/>
          <w:vAlign w:val="center"/>
          <w:tcMar>
            <w:top w:w="0" w:type="dxa"/>
            <w:bottom w:w="0" w:type="dxa"/>
            <w:left w:w="0" w:type="dxa"/>
            <w:right w:w="0" w:type="dxa"/>
          </w:tcMar>
        </w:tcPr>
        <w:p>
          <w:pPr>
            <w:spacing w:before="0" w:after="0"/>
            <w:jc w:val="left"/>
          </w:pPr>
          <w:r>
            <w:drawing>
              <wp:inline xmlns:a="http://schemas.openxmlformats.org/drawingml/2006/main" xmlns:pic="http://schemas.openxmlformats.org/drawingml/2006/picture">
                <wp:extent cx="1554480" cy="654681"/>
                <wp:docPr id="1" name="Picture 1"/>
                <wp:cNvGraphicFramePr>
                  <a:graphicFrameLocks noChangeAspect="1"/>
                </wp:cNvGraphicFramePr>
                <a:graphic>
                  <a:graphicData uri="http://schemas.openxmlformats.org/drawingml/2006/picture">
                    <pic:pic>
                      <pic:nvPicPr>
                        <pic:cNvPr id="0" name="visionblox-logo.png"/>
                        <pic:cNvPicPr/>
                      </pic:nvPicPr>
                      <pic:blipFill>
                        <a:blip r:embed="rId1"/>
                        <a:stretch>
                          <a:fillRect/>
                        </a:stretch>
                      </pic:blipFill>
                      <pic:spPr>
                        <a:xfrm>
                          <a:off x="0" y="0"/>
                          <a:ext cx="1554480" cy="654681"/>
                        </a:xfrm>
                        <a:prstGeom prst="rect"/>
                      </pic:spPr>
                    </pic:pic>
                  </a:graphicData>
                </a:graphic>
              </wp:inline>
            </w:drawing>
          </w:r>
        </w:p>
      </w:tc>
      <w:tc>
        <w:tcPr>
          <w:tcW w:type="dxa" w:w="5760"/>
          <w:vAlign w:val="bottom"/>
          <w:tcMar>
            <w:top w:w="0" w:type="dxa"/>
            <w:bottom w:w="0" w:type="dxa"/>
            <w:left w:w="0" w:type="dxa"/>
            <w:right w:w="0" w:type="dxa"/>
          </w:tcMar>
        </w:tcPr>
        <w:p>
          <w:pPr>
            <w:spacing w:before="0" w:after="20"/>
            <w:jc w:val="right"/>
          </w:pPr>
          <w:r>
            <w:rPr>
              <w:rFonts w:ascii="Arial" w:hAnsi="Arial"/>
              <w:b/>
              <w:color w:val="232D5A"/>
              <w:sz w:val="16"/>
            </w:rPr>
            <w:t>Relian Contract Reconciliation  —  SPB26-0608GW-VSNBLX</w:t>
          </w:r>
        </w:p>
        <w:p>
          <w:pPr>
            <w:spacing w:before="0" w:after="0"/>
            <w:jc w:val="right"/>
          </w:pPr>
          <w:r>
            <w:rPr>
              <w:rFonts w:ascii="Arial" w:hAnsi="Arial"/>
              <w:b/>
              <w:color w:val="2EA891"/>
              <w:sz w:val="13"/>
            </w:rPr>
            <w:t>B U I L D   W H A T   D O E S N ' T   E X I S T   Y E T</w:t>
          </w:r>
        </w:p>
      </w:tc>
    </w:tr>
  </w:tbl>
  <w:p>
    <w:pPr>
      <w:spacing w:before="40" w:after="0"/>
      <w:pBdr>
        <w:bottom w:val="single" w:sz="12" w:space="1" w:color="2EA89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2026-08-08T16:25:45.211Z</dcterms:created>
  <dcterms:modified xsi:type="dcterms:W3CDTF">2026-08-08T16:25:45.227Z</dcterms:modified>
</cp:coreProperties>
</file>

<file path=docProps/custom.xml><?xml version="1.0" encoding="utf-8"?>
<Properties xmlns="http://schemas.openxmlformats.org/officeDocument/2006/custom-properties" xmlns:vt="http://schemas.openxmlformats.org/officeDocument/2006/docPropsVTypes"/>
</file>