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B365D"/>
          <w:sz w:val="52"/>
          <w:szCs w:val="52"/>
        </w:rPr>
        <w:t xml:space="preserve">VISIONBLOX LLC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Industries Page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Content Strategy &amp; Copy Guide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provides the content strategy and ready-to-use copy for Visionblox's redesigned Industries page. The strategy shifts from generic vertical listings to a capability-led structure grounded in documented past performance.</w:t>
      </w:r>
    </w:p>
    <w:p>
      <w:pPr>
        <w:pStyle w:val="Heading2"/>
      </w:pPr>
      <w:r>
        <w:t xml:space="preserve">Key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Evidence-Based Tiering: </w:t>
      </w:r>
      <w:r>
        <w:t xml:space="preserve">Industries prioritized by depth of past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Outcome-Led Headlines: </w:t>
      </w:r>
      <w:r>
        <w:t xml:space="preserve">Lead with quantified results, not capability claims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Anonymized References: </w:t>
      </w:r>
      <w:r>
        <w:t xml:space="preserve">NDA-compliant client descriptors throughout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Compliance Alignment: </w:t>
      </w:r>
      <w:r>
        <w:t xml:space="preserve">Relevant certifications per vertical</w:t>
      </w:r>
    </w:p>
    <w:p>
      <w:pPr>
        <w:pStyle w:val="Heading2"/>
      </w:pPr>
      <w:r>
        <w:t xml:space="preserve">Industry Tier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Industries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8A745"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Healthcare IT, SAP/Enterprise, Federal &amp; SLED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past performance, multiple clients, quantified outcomes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Services, Aviation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Proven delivery, fewer case studies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3545"/>
                <w:sz w:val="20"/>
                <w:szCs w:val="20"/>
              </w:rPr>
              <w:t xml:space="preserve">REMOVE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Manufacturing, Retail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documented delivery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Industry 1: Healthcare IT</w:t>
      </w:r>
    </w:p>
    <w:p>
      <w:pPr>
        <w:spacing w:after="100"/>
      </w:pPr>
      <w:r>
        <w:rPr>
          <w:b/>
          <w:bCs/>
          <w:color w:val="28A745"/>
        </w:rPr>
        <w:t xml:space="preserve">TIER: PRIMARY</w:t>
      </w:r>
    </w:p>
    <w:p>
      <w:pPr>
        <w:pStyle w:val="Heading2"/>
      </w:pPr>
      <w:r>
        <w:t xml:space="preserve">Hero Section Copy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60% Labor Reduction. 96% AI Accuracy. 99.8% Uptime.</w:t>
      </w:r>
    </w:p>
    <w:p>
      <w:pPr>
        <w:spacing w:after="100"/>
      </w:pPr>
      <w:r>
        <w:rPr>
          <w:b/>
          <w:bCs/>
        </w:rPr>
        <w:t xml:space="preserve">Subheadline: </w:t>
      </w:r>
      <w:r>
        <w:t xml:space="preserve">Healthcare IT modernization that delivers measurable outcomes—from patient portals serving 100K+ daily users to AI-powered document processing for state Medicaid agencies.</w:t>
      </w:r>
    </w:p>
    <w:p>
      <w:pPr>
        <w:spacing w:after="200"/>
      </w:pPr>
      <w:r>
        <w:rPr>
          <w:b/>
          <w:bCs/>
        </w:rPr>
        <w:t xml:space="preserve">CTA: </w:t>
      </w:r>
      <w:r>
        <w:t xml:space="preserve">See Healthcare Case Studies</w:t>
      </w:r>
    </w:p>
    <w:p>
      <w:pPr>
        <w:pStyle w:val="Heading2"/>
      </w:pPr>
      <w:r>
        <w:t xml:space="preserve">Problem Statement</w:t>
      </w:r>
    </w:p>
    <w:p>
      <w:pPr>
        <w:spacing w:after="200"/>
      </w:pPr>
      <w:r>
        <w:t xml:space="preserve">Healthcare organizations face mounting pressure to modernize legacy systems while maintaining HIPAA compliance, ensuring 24/7 availability, and reducing operational costs. Manual document processing creates backlogs. Disconnected systems frustrate patients. Security vulnerabilities put PHI at risk. You need a partner who understands both healthcare operations and enterprise technology—and can prove outcomes, not just promise them.</w:t>
      </w:r>
    </w:p>
    <w:p>
      <w:pPr>
        <w:pStyle w:val="Heading2"/>
      </w:pPr>
      <w:r>
        <w:t xml:space="preserve">Capability 1: Patient Portal Development</w:t>
      </w:r>
    </w:p>
    <w:p>
      <w:pPr>
        <w:spacing w:after="150"/>
      </w:pPr>
      <w:r>
        <w:t xml:space="preserve">Secure, HIPAA-compliant portals integrated with Epic, Cerner, and other major EMR systems. Appointment scheduling, prescription management, telehealth capabilities, and health record access—all built on cloud-native architecture with zero-trust security.</w:t>
      </w:r>
    </w:p>
    <w:p>
      <w:pPr>
        <w:pStyle w:val="ListParagraph"/>
        <w:numPr>
          <w:ilvl w:val="0"/>
          <w:numId w:val="3"/>
        </w:numPr>
      </w:pPr>
      <w:r>
        <w:t xml:space="preserve">Epic HealthConnect integration via SOAP/REST and Kafka streaming</w:t>
      </w:r>
    </w:p>
    <w:p>
      <w:pPr>
        <w:pStyle w:val="ListParagraph"/>
        <w:numPr>
          <w:ilvl w:val="0"/>
          <w:numId w:val="3"/>
        </w:numPr>
      </w:pPr>
      <w:r>
        <w:t xml:space="preserve">ADA/Section 508 compliant interfaces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eVisit and video visit telehealth delivery</w:t>
      </w:r>
    </w:p>
    <w:p>
      <w:pPr>
        <w:pStyle w:val="Heading2"/>
      </w:pPr>
      <w:r>
        <w:t xml:space="preserve">Capability 2: Document Intelligence &amp; AI</w:t>
      </w:r>
    </w:p>
    <w:p>
      <w:pPr>
        <w:spacing w:after="150"/>
      </w:pPr>
      <w:r>
        <w:t xml:space="preserve">AI-powered OCR and NLP systems for eligibility documents, claims processing, and clinical documentation. Custom-trained models for healthcare-specific terminology with human-in-the-loop review workflows.</w:t>
      </w:r>
    </w:p>
    <w:p>
      <w:pPr>
        <w:pStyle w:val="ListParagraph"/>
        <w:numPr>
          <w:ilvl w:val="0"/>
          <w:numId w:val="3"/>
        </w:numPr>
      </w:pPr>
      <w:r>
        <w:t xml:space="preserve">96% extraction accuracy on complex medical documents</w:t>
      </w:r>
    </w:p>
    <w:p>
      <w:pPr>
        <w:pStyle w:val="ListParagraph"/>
        <w:numPr>
          <w:ilvl w:val="0"/>
          <w:numId w:val="3"/>
        </w:numPr>
      </w:pPr>
      <w:r>
        <w:t xml:space="preserve">Confidence scoring with exception routing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Integration with legacy eligibility and claims systems</w:t>
      </w:r>
    </w:p>
    <w:p>
      <w:pPr>
        <w:pStyle w:val="Heading2"/>
      </w:pPr>
      <w:r>
        <w:t xml:space="preserve">Capability 3: EMR Integration</w:t>
      </w:r>
    </w:p>
    <w:p>
      <w:pPr>
        <w:spacing w:after="150"/>
      </w:pPr>
      <w:r>
        <w:t xml:space="preserve">End-to-end integration services connecting clinical, administrative, and financial systems. HIPAA-compliant data pipelines handling millions of patient records.</w:t>
      </w:r>
    </w:p>
    <w:p>
      <w:pPr>
        <w:pStyle w:val="ListParagraph"/>
        <w:numPr>
          <w:ilvl w:val="0"/>
          <w:numId w:val="3"/>
        </w:numPr>
      </w:pPr>
      <w:r>
        <w:t xml:space="preserve">5M+ patient records integrated across systems</w:t>
      </w:r>
    </w:p>
    <w:p>
      <w:pPr>
        <w:pStyle w:val="ListParagraph"/>
        <w:numPr>
          <w:ilvl w:val="0"/>
          <w:numId w:val="3"/>
        </w:numPr>
      </w:pPr>
      <w:r>
        <w:t xml:space="preserve">HL7 FHIR and legacy interface support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Real-time data synchronization and audit logging</w:t>
      </w:r>
    </w:p>
    <w:p>
      <w:pPr>
        <w:pStyle w:val="Heading2"/>
      </w:pPr>
      <w:r>
        <w:t xml:space="preserve">Results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99.8% </w:t>
      </w:r>
      <w:r>
        <w:t xml:space="preserve">System Uptime — Patient portal SLA achieved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60% </w:t>
      </w:r>
      <w:r>
        <w:t xml:space="preserve">Labor Reduction — Document processing automation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5M+ </w:t>
      </w:r>
      <w:r>
        <w:t xml:space="preserve">Records Integrated — HIPAA-compliant data migration</w:t>
      </w:r>
    </w:p>
    <w:p>
      <w:pPr>
        <w:pStyle w:val="Heading2"/>
      </w:pPr>
      <w:r>
        <w:t xml:space="preserve">Compliance Badges</w:t>
      </w:r>
    </w:p>
    <w:p>
      <w:pPr>
        <w:spacing w:after="200"/>
      </w:pPr>
      <w:r>
        <w:t xml:space="preserve">HIPAA Compliant • HITRUST Ready • Section 508 • FedRAMP-Ready</w:t>
      </w:r>
    </w:p>
    <w:p>
      <w:r>
        <w:br w:type="page"/>
      </w:r>
    </w:p>
    <w:p>
      <w:pPr>
        <w:pStyle w:val="Heading1"/>
      </w:pPr>
      <w:r>
        <w:t xml:space="preserve">Industry 2: SAP &amp; Enterprise Systems</w:t>
      </w:r>
    </w:p>
    <w:p>
      <w:pPr>
        <w:spacing w:after="100"/>
      </w:pPr>
      <w:r>
        <w:rPr>
          <w:b/>
          <w:bCs/>
          <w:color w:val="28A745"/>
        </w:rPr>
        <w:t xml:space="preserve">TIER: PRIMARY</w:t>
      </w:r>
    </w:p>
    <w:p>
      <w:pPr>
        <w:pStyle w:val="Heading2"/>
      </w:pPr>
      <w:r>
        <w:t xml:space="preserve">Hero Section Copy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$2M+ Annual Savings. 25% Faster Processing. Global Scale.</w:t>
      </w:r>
    </w:p>
    <w:p>
      <w:pPr>
        <w:spacing w:after="100"/>
      </w:pPr>
      <w:r>
        <w:rPr>
          <w:b/>
          <w:bCs/>
        </w:rPr>
        <w:t xml:space="preserve">Subheadline: </w:t>
      </w:r>
      <w:r>
        <w:t xml:space="preserve">S/4HANA migrations, BTP integrations, and enterprise transformations for Fortune 500 organizations. We've delivered SAP solutions across three continents—with measurable ROI.</w:t>
      </w:r>
    </w:p>
    <w:p>
      <w:pPr>
        <w:spacing w:after="200"/>
      </w:pPr>
      <w:r>
        <w:rPr>
          <w:b/>
          <w:bCs/>
        </w:rPr>
        <w:t xml:space="preserve">CTA: </w:t>
      </w:r>
      <w:r>
        <w:t xml:space="preserve">Explore SAP Solutions</w:t>
      </w:r>
    </w:p>
    <w:p>
      <w:pPr>
        <w:pStyle w:val="Heading2"/>
      </w:pPr>
      <w:r>
        <w:t xml:space="preserve">Problem Statement</w:t>
      </w:r>
    </w:p>
    <w:p>
      <w:pPr>
        <w:spacing w:after="200"/>
      </w:pPr>
      <w:r>
        <w:t xml:space="preserve">Enterprise SAP landscapes grow complex. Legacy PO interfaces slow down integrations. Siloed data across regions creates inconsistencies. S/4HANA migrations stall without clear roadmaps. You need a team that has delivered SAP transformations at scale—from cloud migrations to B2B EDI connectivity to predictive analytics—and can demonstrate the business outcomes.</w:t>
      </w:r>
    </w:p>
    <w:p>
      <w:pPr>
        <w:pStyle w:val="Heading2"/>
      </w:pPr>
      <w:r>
        <w:t xml:space="preserve">Capability 1: S/4HANA Cloud Migration</w:t>
      </w:r>
    </w:p>
    <w:p>
      <w:pPr>
        <w:spacing w:after="150"/>
      </w:pPr>
      <w:r>
        <w:t xml:space="preserve">End-to-end migration services from assessment through hypercare. Phased cutover strategies that minimize business disruption.</w:t>
      </w:r>
    </w:p>
    <w:p>
      <w:pPr>
        <w:pStyle w:val="ListParagraph"/>
        <w:numPr>
          <w:ilvl w:val="0"/>
          <w:numId w:val="3"/>
        </w:numPr>
      </w:pPr>
      <w:r>
        <w:t xml:space="preserve">Brownfield and greenfield implementations</w:t>
      </w:r>
    </w:p>
    <w:p>
      <w:pPr>
        <w:pStyle w:val="ListParagraph"/>
        <w:numPr>
          <w:ilvl w:val="0"/>
          <w:numId w:val="3"/>
        </w:numPr>
      </w:pPr>
      <w:r>
        <w:t xml:space="preserve">Data quality remediation and cleansing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Custom code adaptation and optimization</w:t>
      </w:r>
    </w:p>
    <w:p>
      <w:pPr>
        <w:pStyle w:val="Heading2"/>
      </w:pPr>
      <w:r>
        <w:t xml:space="preserve">Capability 2: BTP Integration Suite</w:t>
      </w:r>
    </w:p>
    <w:p>
      <w:pPr>
        <w:spacing w:after="150"/>
      </w:pPr>
      <w:r>
        <w:t xml:space="preserve">Modern integration architecture using SAP Business Technology Platform. Migration from PO 7.5 to Cloud Integration, API management, and event-driven architectures.</w:t>
      </w:r>
    </w:p>
    <w:p>
      <w:pPr>
        <w:pStyle w:val="ListParagraph"/>
        <w:numPr>
          <w:ilvl w:val="0"/>
          <w:numId w:val="3"/>
        </w:numPr>
      </w:pPr>
      <w:r>
        <w:t xml:space="preserve">Legacy PO interface modernization</w:t>
      </w:r>
    </w:p>
    <w:p>
      <w:pPr>
        <w:pStyle w:val="ListParagraph"/>
        <w:numPr>
          <w:ilvl w:val="0"/>
          <w:numId w:val="3"/>
        </w:numPr>
      </w:pPr>
      <w:r>
        <w:t xml:space="preserve">B2B EDI scenarios with AS2 protocol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Trading partner management</w:t>
      </w:r>
    </w:p>
    <w:p>
      <w:pPr>
        <w:pStyle w:val="Heading2"/>
      </w:pPr>
      <w:r>
        <w:t xml:space="preserve">Results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$2M+ </w:t>
      </w:r>
      <w:r>
        <w:t xml:space="preserve">Annual Savings — Automation &amp; optimization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30% </w:t>
      </w:r>
      <w:r>
        <w:t xml:space="preserve">Analytics Accuracy — Predictive model improvement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15+ </w:t>
      </w:r>
      <w:r>
        <w:t xml:space="preserve">Years Experience — SAP implementations</w:t>
      </w:r>
    </w:p>
    <w:p>
      <w:r>
        <w:br w:type="page"/>
      </w:r>
    </w:p>
    <w:p>
      <w:pPr>
        <w:pStyle w:val="Heading1"/>
      </w:pPr>
      <w:r>
        <w:t xml:space="preserve">Industry 3: Federal &amp; SLED</w:t>
      </w:r>
    </w:p>
    <w:p>
      <w:pPr>
        <w:spacing w:after="100"/>
      </w:pPr>
      <w:r>
        <w:rPr>
          <w:b/>
          <w:bCs/>
          <w:color w:val="28A745"/>
        </w:rPr>
        <w:t xml:space="preserve">TIER: PRIMARY</w:t>
      </w:r>
    </w:p>
    <w:p>
      <w:pPr>
        <w:pStyle w:val="Heading2"/>
      </w:pPr>
      <w:r>
        <w:t xml:space="preserve">Hero Section Copy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Mission-Critical Systems. Compliance Built In. Proven Delivery.</w:t>
      </w:r>
    </w:p>
    <w:p>
      <w:pPr>
        <w:spacing w:after="100"/>
      </w:pPr>
      <w:r>
        <w:rPr>
          <w:b/>
          <w:bCs/>
        </w:rPr>
        <w:t xml:space="preserve">Subheadline: </w:t>
      </w:r>
      <w:r>
        <w:t xml:space="preserve">Federal-ready solutions from a minority-owned small business. GSA MAS Springboard. FedRAMP-ready controls. Multi-year track record with state and municipal agencies.</w:t>
      </w:r>
    </w:p>
    <w:p>
      <w:pPr>
        <w:spacing w:after="200"/>
      </w:pPr>
      <w:r>
        <w:rPr>
          <w:b/>
          <w:bCs/>
        </w:rPr>
        <w:t xml:space="preserve">CTA: </w:t>
      </w:r>
      <w:r>
        <w:t xml:space="preserve">Partner With Us</w:t>
      </w:r>
    </w:p>
    <w:p>
      <w:pPr>
        <w:pStyle w:val="Heading2"/>
      </w:pPr>
      <w:r>
        <w:t xml:space="preserve">Problem Statement</w:t>
      </w:r>
    </w:p>
    <w:p>
      <w:pPr>
        <w:spacing w:after="200"/>
      </w:pPr>
      <w:r>
        <w:t xml:space="preserve">Government IT modernization demands more than technical competence. You need contractors who understand FAR compliance, security requirements, and the stakes of mission-critical systems. Legacy portals frustrate citizens. Manual processes create backlogs. Outdated systems expose vulnerabilities. We bring commercial innovation with federal discipline—and past performance to prove it.</w:t>
      </w:r>
    </w:p>
    <w:p>
      <w:pPr>
        <w:pStyle w:val="Heading2"/>
      </w:pPr>
      <w:r>
        <w:t xml:space="preserve">Contract Vehicles &amp; Credentials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CAGE Code: </w:t>
      </w:r>
      <w:r>
        <w:t xml:space="preserve">9Z4X2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UEI: </w:t>
      </w:r>
      <w:r>
        <w:t xml:space="preserve">H4X2Z7R9E3E3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GSA Status: </w:t>
      </w:r>
      <w:r>
        <w:t xml:space="preserve">MAS Springboard (In Progress)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Business Type: </w:t>
      </w:r>
      <w:r>
        <w:t xml:space="preserve">Minority-Owned Small Business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NAICS: </w:t>
      </w:r>
      <w:r>
        <w:t xml:space="preserve">541511, 541512, 541519, 518210, 541611</w:t>
      </w:r>
    </w:p>
    <w:p>
      <w:r>
        <w:br w:type="page"/>
      </w:r>
    </w:p>
    <w:p>
      <w:pPr>
        <w:pStyle w:val="Heading1"/>
      </w:pPr>
      <w:r>
        <w:t xml:space="preserve">Industry 4: Financial Services</w:t>
      </w:r>
    </w:p>
    <w:p>
      <w:pPr>
        <w:spacing w:after="100"/>
      </w:pPr>
      <w:r>
        <w:rPr>
          <w:b/>
          <w:bCs/>
          <w:color w:val="2E86AB"/>
        </w:rPr>
        <w:t xml:space="preserve">TIER: SECONDARY</w:t>
      </w:r>
    </w:p>
    <w:p>
      <w:pPr>
        <w:pStyle w:val="Heading2"/>
      </w:pPr>
      <w:r>
        <w:t xml:space="preserve">Hero Section Copy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Secure. Compliant. Scalable.</w:t>
      </w:r>
    </w:p>
    <w:p>
      <w:pPr>
        <w:spacing w:after="100"/>
      </w:pPr>
      <w:r>
        <w:rPr>
          <w:b/>
          <w:bCs/>
        </w:rPr>
        <w:t xml:space="preserve">Subheadline: </w:t>
      </w:r>
      <w:r>
        <w:t xml:space="preserve">Loan origination systems, mobile payment platforms, and enterprise integrations for regional banks and financial institutions.</w:t>
      </w:r>
    </w:p>
    <w:p>
      <w:pPr>
        <w:spacing w:after="200"/>
      </w:pPr>
      <w:r>
        <w:rPr>
          <w:b/>
          <w:bCs/>
        </w:rPr>
        <w:t xml:space="preserve">CTA: </w:t>
      </w:r>
      <w:r>
        <w:t xml:space="preserve">Discuss Your Project</w:t>
      </w:r>
    </w:p>
    <w:p>
      <w:pPr>
        <w:pStyle w:val="Heading2"/>
      </w:pPr>
      <w:r>
        <w:t xml:space="preserve">Capabilities (Brief)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Loan Origination: </w:t>
      </w:r>
      <w:r>
        <w:t xml:space="preserve">Rate/fee engines, document generation, ACH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 Payments: </w:t>
      </w:r>
      <w:r>
        <w:t xml:space="preserve">Spring Boot APIs, Firebase, secure auth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Enterprise Portals: </w:t>
      </w:r>
      <w:r>
        <w:t xml:space="preserve">WebSphere, SPAs, real-time dashboards</w:t>
      </w:r>
    </w:p>
    <w:p>
      <w:pPr>
        <w:pStyle w:val="Heading1"/>
      </w:pPr>
      <w:r>
        <w:t xml:space="preserve">Industry 5: Aviation</w:t>
      </w:r>
    </w:p>
    <w:p>
      <w:pPr>
        <w:spacing w:after="100"/>
      </w:pPr>
      <w:r>
        <w:rPr>
          <w:b/>
          <w:bCs/>
          <w:color w:val="2E86AB"/>
        </w:rPr>
        <w:t xml:space="preserve">TIER: SECONDARY</w:t>
      </w:r>
    </w:p>
    <w:p>
      <w:pPr>
        <w:pStyle w:val="Heading2"/>
      </w:pPr>
      <w:r>
        <w:t xml:space="preserve">Hero Section Copy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FAA-Certified. 40% Faster Optimization.</w:t>
      </w:r>
    </w:p>
    <w:p>
      <w:pPr>
        <w:spacing w:after="100"/>
      </w:pPr>
      <w:r>
        <w:rPr>
          <w:b/>
          <w:bCs/>
        </w:rPr>
        <w:t xml:space="preserve">Subheadline: </w:t>
      </w:r>
      <w:r>
        <w:t xml:space="preserve">Flight intelligence platforms with real-time analytics, AI-driven route optimization, and data pipelines that meet aviation safety standards.</w:t>
      </w:r>
    </w:p>
    <w:p>
      <w:pPr>
        <w:spacing w:after="200"/>
      </w:pPr>
      <w:r>
        <w:rPr>
          <w:b/>
          <w:bCs/>
        </w:rPr>
        <w:t xml:space="preserve">CTA: </w:t>
      </w:r>
      <w:r>
        <w:t xml:space="preserve">Learn More</w:t>
      </w:r>
    </w:p>
    <w:p>
      <w:pPr>
        <w:pStyle w:val="Heading2"/>
      </w:pPr>
      <w:r>
        <w:t xml:space="preserve">Capabilities (Brief)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Flight Data Pipelines: </w:t>
      </w:r>
      <w:r>
        <w:t xml:space="preserve">FAA-certified architecture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Route Optimization: </w:t>
      </w:r>
      <w:r>
        <w:t xml:space="preserve">40% faster planning with AI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Predictive Maintenance: </w:t>
      </w:r>
      <w:r>
        <w:t xml:space="preserve">ML-driven scheduling</w:t>
      </w:r>
    </w:p>
    <w:p>
      <w:pPr>
        <w:jc w:val="center"/>
      </w:pPr>
      <w:r>
        <w:rPr>
          <w:i/>
          <w:iCs/>
          <w:sz w:val="20"/>
          <w:szCs w:val="20"/>
        </w:rPr>
        <w:t xml:space="preserve">— END OF CONTENT STRATEGY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2026-01-26T14:59:31.669Z</dcterms:created>
  <dcterms:modified xsi:type="dcterms:W3CDTF">2026-01-26T14:59:31.670Z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