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400"/>
        <w:gridCol w:w="5400"/>
      </w:tblGrid>
      <w:tr>
        <w:tc>
          <w:tcPr>
            <w:tcW w:w="6552" w:type="dxa"/>
            <w:shd w:val="clear" w:color="auto" w:fill="232D5A"/>
            <w:vAlign w:val="center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60"/>
            </w:pPr>
            <w:r>
              <w:drawing>
                <wp:inline xmlns:a="http://schemas.openxmlformats.org/drawingml/2006/main" xmlns:pic="http://schemas.openxmlformats.org/drawingml/2006/picture">
                  <wp:extent cx="2240280" cy="9435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ionblox-logo-knocko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943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b/>
                <w:i w:val="0"/>
                <w:color w:val="7FD4C1"/>
                <w:sz w:val="13"/>
                <w:caps w:val="1"/>
                <w:spacing w:val="60"/>
              </w:rPr>
              <w:t>BUILD WHAT DOESN'T EXIST YET</w:t>
            </w:r>
          </w:p>
        </w:tc>
        <w:tc>
          <w:tcPr>
            <w:tcW w:w="4248" w:type="dxa"/>
            <w:shd w:val="clear" w:color="auto" w:fill="232D5A"/>
            <w:vAlign w:val="center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20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21"/>
                <w:spacing w:val="20"/>
              </w:rPr>
              <w:t>AI-POWERED FEDERAL SOLUTIONS</w:t>
            </w:r>
          </w:p>
          <w:p>
            <w:pPr>
              <w:spacing w:before="0" w:after="100"/>
              <w:jc w:val="right"/>
            </w:pPr>
            <w:r>
              <w:rPr>
                <w:rFonts w:ascii="Arial" w:hAnsi="Arial" w:cs="Arial"/>
                <w:b w:val="0"/>
                <w:i w:val="0"/>
                <w:color w:val="7FD4C1"/>
                <w:sz w:val="17"/>
              </w:rPr>
              <w:t>Healthcare IT   •   Cloud   •   AI/ML</w:t>
            </w:r>
          </w:p>
          <w:p>
            <w:pPr>
              <w:spacing w:before="0" w:after="0"/>
              <w:jc w:val="right"/>
              <w:pBdr>
                <w:top w:val="single" w:sz="6" w:space="3" w:color="F7B801"/>
              </w:pBdr>
            </w:pPr>
            <w:r>
              <w:rPr>
                <w:rFonts w:ascii="Arial" w:hAnsi="Arial" w:cs="Arial"/>
                <w:b/>
                <w:i w:val="0"/>
                <w:color w:val="F7B801"/>
                <w:sz w:val="16"/>
              </w:rPr>
              <w:t xml:space="preserve">CAGE </w:t>
            </w:r>
            <w:r>
              <w:rPr>
                <w:rFonts w:ascii="Arial" w:hAnsi="Arial" w:cs="Arial"/>
                <w:b w:val="0"/>
                <w:i w:val="0"/>
                <w:color w:val="F5F5F0"/>
                <w:sz w:val="16"/>
              </w:rPr>
              <w:t>9Z4X2</w:t>
            </w:r>
            <w:r>
              <w:rPr>
                <w:rFonts w:ascii="Arial" w:hAnsi="Arial" w:cs="Arial"/>
                <w:b/>
                <w:i w:val="0"/>
                <w:color w:val="F7B801"/>
                <w:sz w:val="16"/>
              </w:rPr>
              <w:t xml:space="preserve">     UEI </w:t>
            </w:r>
            <w:r>
              <w:rPr>
                <w:rFonts w:ascii="Arial" w:hAnsi="Arial" w:cs="Arial"/>
                <w:b w:val="0"/>
                <w:i w:val="0"/>
                <w:color w:val="F5F5F0"/>
                <w:sz w:val="16"/>
              </w:rPr>
              <w:t>H4X2Z7R9E3E3</w:t>
            </w:r>
          </w:p>
        </w:tc>
      </w:tr>
    </w:tbl>
    <w:p>
      <w:pPr>
        <w:spacing w:before="0" w:after="40"/>
        <w:pBdr>
          <w:bottom w:val="single" w:sz="18" w:space="0" w:color="F7B801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800"/>
      </w:tblGrid>
      <w:tr>
        <w:tc>
          <w:tcPr>
            <w:tcW w:w="10800" w:type="dxa"/>
            <w:shd w:val="clear" w:color="auto" w:fill="E7F5F1"/>
            <w:tcMar>
              <w:top w:w="120" w:type="dxa"/>
              <w:left w:w="160" w:type="dxa"/>
              <w:bottom w:w="120" w:type="dxa"/>
              <w:right w:w="160" w:type="dxa"/>
            </w:tcMar>
            <w:tcBorders>
              <w:top w:val="nil"/>
              <w:left w:val="single" w:sz="30" w:space="0" w:color="2EA891"/>
              <w:bottom w:val="nil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9"/>
              </w:rPr>
              <w:t xml:space="preserve">Visionblox LLC </w:t>
            </w:r>
            <w:r>
              <w:rPr>
                <w:rFonts w:ascii="Arial" w:hAnsi="Arial" w:cs="Arial"/>
                <w:b w:val="0"/>
                <w:i w:val="0"/>
                <w:color w:val="2E2E2E"/>
                <w:sz w:val="18"/>
              </w:rPr>
              <w:t xml:space="preserve">is a San Jose, CA-based minority-owned small business systems integrator delivering healthcare IT, AI/ML, cloud, and enterprise modernization services to Federal and SLED clients. Our team brings </w:t>
            </w:r>
            <w:r>
              <w:rPr>
                <w:rFonts w:ascii="Arial" w:hAnsi="Arial" w:cs="Arial"/>
                <w:b/>
                <w:i w:val="0"/>
                <w:color w:val="2EA891"/>
                <w:sz w:val="18"/>
              </w:rPr>
              <w:t>100+ years</w:t>
            </w:r>
            <w:r>
              <w:rPr>
                <w:rFonts w:ascii="Arial" w:hAnsi="Arial" w:cs="Arial"/>
                <w:b w:val="0"/>
                <w:i w:val="0"/>
                <w:color w:val="2E2E2E"/>
                <w:sz w:val="18"/>
              </w:rPr>
              <w:t xml:space="preserve"> of combined experience and </w:t>
            </w:r>
            <w:r>
              <w:rPr>
                <w:rFonts w:ascii="Arial" w:hAnsi="Arial" w:cs="Arial"/>
                <w:b/>
                <w:i w:val="0"/>
                <w:color w:val="2EA891"/>
                <w:sz w:val="18"/>
              </w:rPr>
              <w:t>50+ implementations</w:t>
            </w:r>
            <w:r>
              <w:rPr>
                <w:rFonts w:ascii="Arial" w:hAnsi="Arial" w:cs="Arial"/>
                <w:b w:val="0"/>
                <w:i w:val="0"/>
                <w:color w:val="2E2E2E"/>
                <w:sz w:val="18"/>
              </w:rPr>
              <w:t xml:space="preserve"> across integrated health systems, state Medicaid agencies, and national insurers — with quantified, production-scale outcomes on every engagement.</w:t>
            </w:r>
          </w:p>
        </w:tc>
      </w:tr>
    </w:tbl>
    <w:p>
      <w:pPr>
        <w:spacing w:before="180" w:after="80"/>
        <w:pBdr>
          <w:bottom w:val="single" w:sz="8" w:space="2" w:color="2EA891"/>
        </w:pBdr>
      </w:pPr>
      <w:r>
        <w:rPr>
          <w:rFonts w:ascii="Arial" w:hAnsi="Arial" w:cs="Arial"/>
          <w:b/>
          <w:i w:val="0"/>
          <w:color w:val="2EA891"/>
          <w:sz w:val="20"/>
          <w:caps w:val="1"/>
          <w:spacing w:val="48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Spacing w:w="60" w:type="dxa"/>
      </w:tblPr>
      <w:tblGrid>
        <w:gridCol w:w="3600"/>
        <w:gridCol w:w="3600"/>
        <w:gridCol w:w="3600"/>
      </w:tblGrid>
      <w:tr>
        <w:tc>
          <w:tcPr>
            <w:tcW w:w="3456" w:type="dxa"/>
            <w:shd w:val="clear" w:color="auto" w:fill="E7F5F1"/>
            <w:tcMar>
              <w:top w:w="95" w:type="dxa"/>
              <w:left w:w="120" w:type="dxa"/>
              <w:bottom w:w="95" w:type="dxa"/>
              <w:right w:w="120" w:type="dxa"/>
            </w:tcMar>
            <w:tcBorders>
              <w:top w:val="single" w:sz="22" w:space="0" w:color="2EA891"/>
              <w:left w:val="nil"/>
              <w:bottom w:val="nil"/>
              <w:right w:val="nil"/>
            </w:tcBorders>
          </w:tcPr>
          <w:p>
            <w:pPr>
              <w:spacing w:before="0" w:after="60" w:line="245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8"/>
              </w:rPr>
              <w:t>Healthcare IT &amp; Interoperability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EHR/EMR integration (Epic), HL7 v2/FHIR APIs, 21st Century Cures Act compliance, patient portals, telehealth, Medicaid modernization (MITA-compliant).</w:t>
            </w:r>
          </w:p>
        </w:tc>
        <w:tc>
          <w:tcPr>
            <w:tcW w:w="3456" w:type="dxa"/>
            <w:shd w:val="clear" w:color="auto" w:fill="E7F5F1"/>
            <w:tcMar>
              <w:top w:w="95" w:type="dxa"/>
              <w:left w:w="120" w:type="dxa"/>
              <w:bottom w:w="95" w:type="dxa"/>
              <w:right w:w="120" w:type="dxa"/>
            </w:tcMar>
            <w:tcBorders>
              <w:top w:val="single" w:sz="22" w:space="0" w:color="2EA891"/>
              <w:left w:val="nil"/>
              <w:bottom w:val="nil"/>
              <w:right w:val="nil"/>
            </w:tcBorders>
          </w:tcPr>
          <w:p>
            <w:pPr>
              <w:spacing w:before="0" w:after="60" w:line="245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8"/>
              </w:rPr>
              <w:t>AI/ML &amp; Document Intelligence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Intelligent document processing, OCR/NLP pipelines at 96% accuracy, predictive analytics, AI-assisted workflow automation delivering 60% labor reduction.</w:t>
            </w:r>
          </w:p>
        </w:tc>
        <w:tc>
          <w:tcPr>
            <w:tcW w:w="3456" w:type="dxa"/>
            <w:shd w:val="clear" w:color="auto" w:fill="E7F5F1"/>
            <w:tcMar>
              <w:top w:w="95" w:type="dxa"/>
              <w:left w:w="120" w:type="dxa"/>
              <w:bottom w:w="95" w:type="dxa"/>
              <w:right w:w="120" w:type="dxa"/>
            </w:tcMar>
            <w:tcBorders>
              <w:top w:val="single" w:sz="22" w:space="0" w:color="2EA891"/>
              <w:left w:val="nil"/>
              <w:bottom w:val="nil"/>
              <w:right w:val="nil"/>
            </w:tcBorders>
          </w:tcPr>
          <w:p>
            <w:pPr>
              <w:spacing w:before="0" w:after="60" w:line="245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8"/>
              </w:rPr>
              <w:t>Cloud &amp; Custom Development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Cloud-native development on AWS (Batch, Lambda, EMR), microservices, serverless ETL, PHI-secure architectures, DevSecOps, legacy modernization.</w:t>
            </w:r>
          </w:p>
        </w:tc>
      </w:tr>
      <w:tr>
        <w:tc>
          <w:tcPr>
            <w:tcW w:w="3456" w:type="dxa"/>
            <w:shd w:val="clear" w:color="auto" w:fill="E7F5F1"/>
            <w:tcMar>
              <w:top w:w="95" w:type="dxa"/>
              <w:left w:w="120" w:type="dxa"/>
              <w:bottom w:w="95" w:type="dxa"/>
              <w:right w:w="120" w:type="dxa"/>
            </w:tcMar>
            <w:tcBorders>
              <w:top w:val="single" w:sz="22" w:space="0" w:color="2EA891"/>
              <w:left w:val="nil"/>
              <w:bottom w:val="nil"/>
              <w:right w:val="nil"/>
            </w:tcBorders>
          </w:tcPr>
          <w:p>
            <w:pPr>
              <w:spacing w:before="0" w:after="60" w:line="245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8"/>
              </w:rPr>
              <w:t>Enterprise SAP S/4HANA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ERP modernization and migration, S/4HANA implementation and integration for large-scale enterprise operations, $2M+ annual savings delivered.</w:t>
            </w:r>
          </w:p>
        </w:tc>
        <w:tc>
          <w:tcPr>
            <w:tcW w:w="3456" w:type="dxa"/>
            <w:shd w:val="clear" w:color="auto" w:fill="E7F5F1"/>
            <w:tcMar>
              <w:top w:w="95" w:type="dxa"/>
              <w:left w:w="120" w:type="dxa"/>
              <w:bottom w:w="95" w:type="dxa"/>
              <w:right w:w="120" w:type="dxa"/>
            </w:tcMar>
            <w:tcBorders>
              <w:top w:val="single" w:sz="22" w:space="0" w:color="2EA891"/>
              <w:left w:val="nil"/>
              <w:bottom w:val="nil"/>
              <w:right w:val="nil"/>
            </w:tcBorders>
          </w:tcPr>
          <w:p>
            <w:pPr>
              <w:spacing w:before="0" w:after="60" w:line="245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8"/>
              </w:rPr>
              <w:t>Cybersecurity &amp; Compliance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HIPAA/PHI security engineering, HITRUST-aligned controls, secure SDLC, healthcare data protection across cloud and hybrid environments.</w:t>
            </w:r>
          </w:p>
        </w:tc>
        <w:tc>
          <w:tcPr>
            <w:tcW w:w="3456" w:type="dxa"/>
            <w:shd w:val="clear" w:color="auto" w:fill="E7F5F1"/>
            <w:tcMar>
              <w:top w:w="95" w:type="dxa"/>
              <w:left w:w="120" w:type="dxa"/>
              <w:bottom w:w="95" w:type="dxa"/>
              <w:right w:w="120" w:type="dxa"/>
            </w:tcMar>
            <w:tcBorders>
              <w:top w:val="single" w:sz="22" w:space="0" w:color="2EA891"/>
              <w:left w:val="nil"/>
              <w:bottom w:val="nil"/>
              <w:right w:val="nil"/>
            </w:tcBorders>
          </w:tcPr>
          <w:p>
            <w:pPr>
              <w:spacing w:before="0" w:after="60" w:line="245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8"/>
              </w:rPr>
              <w:t>Data Engineering &amp; Analytics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High-volume claims and clinical data pipelines processing millions of daily transactions, business intelligence, real-time dashboards.</w:t>
            </w:r>
          </w:p>
        </w:tc>
      </w:tr>
    </w:tbl>
    <w:p>
      <w:pPr>
        <w:spacing w:before="180" w:after="80"/>
        <w:pBdr>
          <w:bottom w:val="single" w:sz="8" w:space="2" w:color="2EA891"/>
        </w:pBdr>
      </w:pPr>
      <w:r>
        <w:rPr>
          <w:rFonts w:ascii="Arial" w:hAnsi="Arial" w:cs="Arial"/>
          <w:b/>
          <w:i w:val="0"/>
          <w:color w:val="2EA891"/>
          <w:sz w:val="20"/>
          <w:caps w:val="1"/>
          <w:spacing w:val="48"/>
        </w:rPr>
        <w:t>Past Performance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w="5112" w:type="dxa"/>
            <w:shd w:val="clear" w:color="auto" w:fill="232D5A"/>
            <w:vAlign w:val="center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caps w:val="1"/>
                <w:spacing w:val="30"/>
              </w:rPr>
              <w:t>PROJECT</w:t>
            </w:r>
          </w:p>
        </w:tc>
        <w:tc>
          <w:tcPr>
            <w:tcW w:w="3960" w:type="dxa"/>
            <w:shd w:val="clear" w:color="auto" w:fill="232D5A"/>
            <w:vAlign w:val="center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caps w:val="1"/>
                <w:spacing w:val="30"/>
              </w:rPr>
              <w:t>OUTCOME</w:t>
            </w:r>
          </w:p>
        </w:tc>
        <w:tc>
          <w:tcPr>
            <w:tcW w:w="1728" w:type="dxa"/>
            <w:shd w:val="clear" w:color="auto" w:fill="232D5A"/>
            <w:vAlign w:val="center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caps w:val="1"/>
                <w:spacing w:val="30"/>
              </w:rPr>
              <w:t>VALUE</w:t>
            </w:r>
          </w:p>
        </w:tc>
      </w:tr>
      <w:tr>
        <w:trPr>
          <w:cantSplit/>
        </w:trPr>
        <w:tc>
          <w:tcPr>
            <w:tcW w:w="5112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single" w:sz="26" w:space="0" w:color="F7B801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7B801"/>
                <w:sz w:val="13"/>
                <w:caps w:val="1"/>
                <w:spacing w:val="30"/>
              </w:rPr>
              <w:t xml:space="preserve">PRIME  </w:t>
            </w: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State of Montana — Master AI Products &amp; Services Contract (SPB26-0608GW-VSNBLX)</w:t>
            </w:r>
          </w:p>
        </w:tc>
        <w:tc>
          <w:tcPr>
            <w:tcW w:w="3960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Competitively awarded statewide master contract — both tracks, executed Aug 2026. AI software solutions for state government operations.</w:t>
            </w:r>
          </w:p>
        </w:tc>
        <w:tc>
          <w:tcPr>
            <w:tcW w:w="1728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single" w:sz="18" w:space="0" w:color="F7B801"/>
              <w:bottom w:val="single" w:sz="4" w:space="0" w:color="D9DEE6"/>
              <w:right w:val="nil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32D5A"/>
                <w:sz w:val="19"/>
              </w:rPr>
              <w:t>Through 2028</w:t>
            </w:r>
            <w:r>
              <w:br/>
            </w:r>
            <w:r>
              <w:rPr>
                <w:rFonts w:ascii="Arial" w:hAnsi="Arial" w:cs="Arial"/>
                <w:b w:val="0"/>
                <w:i w:val="0"/>
                <w:color w:val="2EA891"/>
                <w:sz w:val="13"/>
              </w:rPr>
              <w:t>Fully executed · Aug 2026</w:t>
            </w:r>
          </w:p>
        </w:tc>
      </w:tr>
      <w:tr>
        <w:trPr>
          <w:cantSplit/>
        </w:trPr>
        <w:tc>
          <w:tcPr>
            <w:tcW w:w="5112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Patient Portal &amp; EHR Integration — Leading National Integrated Healthcare System</w:t>
            </w:r>
          </w:p>
        </w:tc>
        <w:tc>
          <w:tcPr>
            <w:tcW w:w="3960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Epic/HL7 &amp; Cures Act integration; patient portal serving 100K+ daily users at 99.8% SLA</w:t>
            </w:r>
          </w:p>
        </w:tc>
        <w:tc>
          <w:tcPr>
            <w:tcW w:w="1728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single" w:sz="18" w:space="0" w:color="F7B801"/>
              <w:bottom w:val="single" w:sz="4" w:space="0" w:color="D9DEE6"/>
              <w:right w:val="nil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32D5A"/>
                <w:sz w:val="19"/>
              </w:rPr>
              <w:t>~$1.2M</w:t>
            </w:r>
          </w:p>
        </w:tc>
      </w:tr>
      <w:tr>
        <w:trPr>
          <w:cantSplit/>
        </w:trPr>
        <w:tc>
          <w:tcPr>
            <w:tcW w:w="5112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CA DHCS Claims &amp; Fiscal Reporting System (CFRS) — State Medicaid</w:t>
            </w:r>
          </w:p>
        </w:tc>
        <w:tc>
          <w:tcPr>
            <w:tcW w:w="3960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MITA-compliant modernization; AI document intelligence at 96% OCR accuracy; 60% labor reduction</w:t>
            </w:r>
          </w:p>
        </w:tc>
        <w:tc>
          <w:tcPr>
            <w:tcW w:w="1728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single" w:sz="18" w:space="0" w:color="F7B801"/>
              <w:bottom w:val="single" w:sz="4" w:space="0" w:color="D9DEE6"/>
              <w:right w:val="nil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32D5A"/>
                <w:sz w:val="19"/>
              </w:rPr>
              <w:t>~$2.1M</w:t>
            </w:r>
          </w:p>
        </w:tc>
      </w:tr>
      <w:tr>
        <w:trPr>
          <w:cantSplit/>
        </w:trPr>
        <w:tc>
          <w:tcPr>
            <w:tcW w:w="5112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Claims Processing Modernization — National Health Insurer</w:t>
            </w:r>
          </w:p>
        </w:tc>
        <w:tc>
          <w:tcPr>
            <w:tcW w:w="3960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AWS Batch/Lambda/EMR pipeline processing millions of daily claims</w:t>
            </w:r>
          </w:p>
        </w:tc>
        <w:tc>
          <w:tcPr>
            <w:tcW w:w="1728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single" w:sz="18" w:space="0" w:color="F7B801"/>
              <w:bottom w:val="single" w:sz="4" w:space="0" w:color="D9DEE6"/>
              <w:right w:val="nil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32D5A"/>
                <w:sz w:val="19"/>
              </w:rPr>
              <w:t>Enterprise</w:t>
            </w:r>
          </w:p>
        </w:tc>
      </w:tr>
      <w:tr>
        <w:trPr>
          <w:cantSplit/>
        </w:trPr>
        <w:tc>
          <w:tcPr>
            <w:tcW w:w="5112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Urgent Care Data Integration — Regional Health Network</w:t>
            </w:r>
          </w:p>
        </w:tc>
        <w:tc>
          <w:tcPr>
            <w:tcW w:w="3960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5"/>
              </w:rPr>
              <w:t>HL7/FHIR ETL, microservices architecture, PHI-secure AWS environment</w:t>
            </w:r>
          </w:p>
        </w:tc>
        <w:tc>
          <w:tcPr>
            <w:tcW w:w="1728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single" w:sz="18" w:space="0" w:color="F7B801"/>
              <w:bottom w:val="single" w:sz="4" w:space="0" w:color="D9DEE6"/>
              <w:right w:val="nil"/>
            </w:tcBorders>
          </w:tcPr>
          <w:p>
            <w:pPr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32D5A"/>
                <w:sz w:val="19"/>
              </w:rPr>
              <w:t>Multi-phase</w:t>
            </w:r>
          </w:p>
        </w:tc>
      </w:tr>
    </w:tbl>
    <w:p>
      <w:pPr>
        <w:spacing w:before="180" w:after="80"/>
        <w:pBdr>
          <w:bottom w:val="single" w:sz="8" w:space="2" w:color="2EA891"/>
        </w:pBdr>
      </w:pPr>
      <w:r>
        <w:rPr>
          <w:rFonts w:ascii="Arial" w:hAnsi="Arial" w:cs="Arial"/>
          <w:b/>
          <w:i w:val="0"/>
          <w:color w:val="2EA891"/>
          <w:sz w:val="20"/>
          <w:caps w:val="1"/>
          <w:spacing w:val="48"/>
        </w:rPr>
        <w:t>Why Visionblox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w="3384" w:type="dxa"/>
            <w:shd w:val="clear" w:color="auto" w:fill="232D5A"/>
            <w:vAlign w:val="center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caps w:val="1"/>
                <w:spacing w:val="30"/>
              </w:rPr>
              <w:t>CAPABILITY</w:t>
            </w:r>
          </w:p>
        </w:tc>
        <w:tc>
          <w:tcPr>
            <w:tcW w:w="3960" w:type="dxa"/>
            <w:shd w:val="clear" w:color="auto" w:fill="232D5A"/>
            <w:vAlign w:val="center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caps w:val="1"/>
                <w:spacing w:val="30"/>
              </w:rPr>
              <w:t>PROOF POINT</w:t>
            </w:r>
          </w:p>
        </w:tc>
        <w:tc>
          <w:tcPr>
            <w:tcW w:w="3456" w:type="dxa"/>
            <w:shd w:val="clear" w:color="auto" w:fill="232D5A"/>
            <w:vAlign w:val="center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  <w:caps w:val="1"/>
                <w:spacing w:val="30"/>
              </w:rPr>
              <w:t>GOVERNMENT BENEFIT</w:t>
            </w:r>
          </w:p>
        </w:tc>
      </w:tr>
      <w:tr>
        <w:trPr>
          <w:cantSplit/>
        </w:trPr>
        <w:tc>
          <w:tcPr>
            <w:tcW w:w="3384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Healthcare-native systems integrator</w:t>
            </w:r>
          </w:p>
        </w:tc>
        <w:tc>
          <w:tcPr>
            <w:tcW w:w="3960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Epic, HL7/FHIR, MITA delivery at state Medicaid scale</w:t>
            </w:r>
          </w:p>
        </w:tc>
        <w:tc>
          <w:tcPr>
            <w:tcW w:w="3456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Mission-ready for federal health IT modernization</w:t>
            </w:r>
          </w:p>
        </w:tc>
      </w:tr>
      <w:tr>
        <w:trPr>
          <w:cantSplit/>
        </w:trPr>
        <w:tc>
          <w:tcPr>
            <w:tcW w:w="3384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Proven AI at production scale</w:t>
            </w:r>
          </w:p>
        </w:tc>
        <w:tc>
          <w:tcPr>
            <w:tcW w:w="3960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96% OCR accuracy; 60% labor reduction in live state operations</w:t>
            </w:r>
          </w:p>
        </w:tc>
        <w:tc>
          <w:tcPr>
            <w:tcW w:w="3456" w:type="dxa"/>
            <w:shd w:val="clear" w:color="auto" w:fill="E7F5F1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Measurable efficiency gains, not pilots</w:t>
            </w:r>
          </w:p>
        </w:tc>
      </w:tr>
      <w:tr>
        <w:trPr>
          <w:cantSplit/>
        </w:trPr>
        <w:tc>
          <w:tcPr>
            <w:tcW w:w="3384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Small-business agility</w:t>
            </w:r>
          </w:p>
        </w:tc>
        <w:tc>
          <w:tcPr>
            <w:tcW w:w="3960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Minority-Owned SB; direct principal engagement on every delivery</w:t>
            </w:r>
          </w:p>
        </w:tc>
        <w:tc>
          <w:tcPr>
            <w:tcW w:w="3456" w:type="dxa"/>
            <w:shd w:val="clear" w:color="auto" w:fill="FFFFFF"/>
            <w:vAlign w:val="center"/>
            <w:tcMar>
              <w:top w:w="75" w:type="dxa"/>
              <w:left w:w="120" w:type="dxa"/>
              <w:bottom w:w="75" w:type="dxa"/>
              <w:right w:w="12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Set-aside eligible; accountable leadership</w:t>
            </w:r>
          </w:p>
        </w:tc>
      </w:tr>
    </w:tbl>
    <w:p>
      <w:pPr>
        <w:spacing w:before="16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400"/>
        <w:gridCol w:w="5400"/>
      </w:tblGrid>
      <w:tr>
        <w:tc>
          <w:tcPr>
            <w:tcW w:w="6263" w:type="dxa"/>
            <w:shd w:val="clear" w:color="auto" w:fill="232D5A"/>
            <w:vAlign w:val="center"/>
            <w:tcMar>
              <w:top w:w="115" w:type="dxa"/>
              <w:left w:w="160" w:type="dxa"/>
              <w:bottom w:w="115" w:type="dxa"/>
              <w:right w:w="160" w:type="dxa"/>
            </w:tcMar>
            <w:tcBorders>
              <w:top w:val="single" w:sz="26" w:space="0" w:color="F7B801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i w:val="0"/>
                <w:color w:val="F7B801"/>
                <w:sz w:val="16"/>
              </w:rPr>
              <w:t xml:space="preserve">NAICS  </w:t>
            </w:r>
            <w:r>
              <w:rPr>
                <w:rFonts w:ascii="Arial" w:hAnsi="Arial" w:cs="Arial"/>
                <w:b w:val="0"/>
                <w:i w:val="0"/>
                <w:color w:val="F5F5F0"/>
                <w:sz w:val="16"/>
              </w:rPr>
              <w:t>541511 • 541512 • 541519 • 518210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i w:val="0"/>
                <w:color w:val="7FD4C1"/>
                <w:sz w:val="15"/>
              </w:rPr>
              <w:t>Minority-Owned Small Business  •  TAA Compliant  •  Section 889 Compliant</w:t>
            </w:r>
          </w:p>
        </w:tc>
        <w:tc>
          <w:tcPr>
            <w:tcW w:w="4536" w:type="dxa"/>
            <w:shd w:val="clear" w:color="auto" w:fill="232D5A"/>
            <w:vAlign w:val="center"/>
            <w:tcMar>
              <w:top w:w="115" w:type="dxa"/>
              <w:left w:w="160" w:type="dxa"/>
              <w:bottom w:w="115" w:type="dxa"/>
              <w:right w:w="160" w:type="dxa"/>
            </w:tcMar>
            <w:tcBorders>
              <w:top w:val="single" w:sz="26" w:space="0" w:color="F7B801"/>
              <w:left w:val="nil"/>
              <w:bottom w:val="nil"/>
              <w:right w:val="nil"/>
            </w:tcBorders>
          </w:tcPr>
          <w:p>
            <w:pPr>
              <w:spacing w:before="0" w:after="40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Khaalis Wooden, MBA</w:t>
            </w:r>
            <w:r>
              <w:rPr>
                <w:rFonts w:ascii="Arial" w:hAnsi="Arial" w:cs="Arial"/>
                <w:b w:val="0"/>
                <w:i w:val="0"/>
                <w:color w:val="7FD4C1"/>
                <w:sz w:val="15"/>
              </w:rPr>
              <w:t xml:space="preserve">  — Director, Enterprise Capture &amp; Compliance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 w:val="0"/>
                <w:i w:val="0"/>
                <w:color w:val="F5F5F0"/>
                <w:sz w:val="15"/>
              </w:rPr>
              <w:t>khaalis.wooden@visionblox.com  •  (256) 988-1130  •  visionblox.com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E2E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