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400"/>
        <w:gridCol w:w="5400"/>
      </w:tblGrid>
      <w:tr>
        <w:tc>
          <w:tcPr>
            <w:tcW w:w="6552" w:type="dxa"/>
            <w:shd w:val="clear" w:color="auto" w:fill="232D5A"/>
            <w:vAlign w:val="center"/>
            <w:tcMar>
              <w:top w:w="150" w:type="dxa"/>
              <w:left w:w="170" w:type="dxa"/>
              <w:bottom w:w="150" w:type="dxa"/>
              <w:right w:w="170" w:type="dxa"/>
            </w:tcMar>
          </w:tcPr>
          <w:p>
            <w:pPr>
              <w:spacing w:before="0" w:after="60"/>
            </w:pPr>
            <w:r>
              <w:drawing>
                <wp:inline xmlns:a="http://schemas.openxmlformats.org/drawingml/2006/main" xmlns:pic="http://schemas.openxmlformats.org/drawingml/2006/picture">
                  <wp:extent cx="2240280" cy="94351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isionblox-logo-knockou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9435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</w:pPr>
            <w:r>
              <w:rPr>
                <w:rFonts w:ascii="Arial" w:hAnsi="Arial" w:cs="Arial"/>
                <w:b/>
                <w:i w:val="0"/>
                <w:color w:val="7FD4C1"/>
                <w:sz w:val="13"/>
                <w:caps w:val="1"/>
                <w:spacing w:val="60"/>
              </w:rPr>
              <w:t>BUILD WHAT DOESN'T EXIST YET</w:t>
            </w:r>
          </w:p>
        </w:tc>
        <w:tc>
          <w:tcPr>
            <w:tcW w:w="4248" w:type="dxa"/>
            <w:shd w:val="clear" w:color="auto" w:fill="232D5A"/>
            <w:vAlign w:val="center"/>
            <w:tcMar>
              <w:top w:w="150" w:type="dxa"/>
              <w:left w:w="170" w:type="dxa"/>
              <w:bottom w:w="150" w:type="dxa"/>
              <w:right w:w="170" w:type="dxa"/>
            </w:tcMar>
          </w:tcPr>
          <w:p>
            <w:pPr>
              <w:spacing w:before="0" w:after="20"/>
              <w:jc w:val="right"/>
            </w:pPr>
            <w:r>
              <w:rPr>
                <w:rFonts w:ascii="Arial" w:hAnsi="Arial" w:cs="Arial"/>
                <w:b/>
                <w:i w:val="0"/>
                <w:color w:val="FFFFFF"/>
                <w:sz w:val="21"/>
                <w:spacing w:val="20"/>
              </w:rPr>
              <w:t>AI-POWERED FEDERAL SOLUTIONS</w:t>
            </w:r>
          </w:p>
          <w:p>
            <w:pPr>
              <w:spacing w:before="0" w:after="100"/>
              <w:jc w:val="right"/>
            </w:pPr>
            <w:r>
              <w:rPr>
                <w:rFonts w:ascii="Arial" w:hAnsi="Arial" w:cs="Arial"/>
                <w:b w:val="0"/>
                <w:i w:val="0"/>
                <w:color w:val="7FD4C1"/>
                <w:sz w:val="17"/>
              </w:rPr>
              <w:t>Healthcare IT   •   Cloud   •   AI/ML</w:t>
            </w:r>
          </w:p>
          <w:p>
            <w:pPr>
              <w:spacing w:before="0" w:after="0"/>
              <w:jc w:val="right"/>
              <w:pBdr>
                <w:top w:val="single" w:sz="6" w:space="3" w:color="F7B801"/>
              </w:pBdr>
            </w:pPr>
            <w:r>
              <w:rPr>
                <w:rFonts w:ascii="Arial" w:hAnsi="Arial" w:cs="Arial"/>
                <w:b/>
                <w:i w:val="0"/>
                <w:color w:val="F7B801"/>
                <w:sz w:val="16"/>
              </w:rPr>
              <w:t xml:space="preserve">CAGE </w:t>
            </w:r>
            <w:r>
              <w:rPr>
                <w:rFonts w:ascii="Arial" w:hAnsi="Arial" w:cs="Arial"/>
                <w:b w:val="0"/>
                <w:i w:val="0"/>
                <w:color w:val="F5F5F0"/>
                <w:sz w:val="16"/>
              </w:rPr>
              <w:t>9Z4X2</w:t>
            </w:r>
            <w:r>
              <w:rPr>
                <w:rFonts w:ascii="Arial" w:hAnsi="Arial" w:cs="Arial"/>
                <w:b/>
                <w:i w:val="0"/>
                <w:color w:val="F7B801"/>
                <w:sz w:val="16"/>
              </w:rPr>
              <w:t xml:space="preserve">     UEI </w:t>
            </w:r>
            <w:r>
              <w:rPr>
                <w:rFonts w:ascii="Arial" w:hAnsi="Arial" w:cs="Arial"/>
                <w:b w:val="0"/>
                <w:i w:val="0"/>
                <w:color w:val="F5F5F0"/>
                <w:sz w:val="16"/>
              </w:rPr>
              <w:t>H4X2Z7R9E3E3</w:t>
            </w:r>
          </w:p>
        </w:tc>
      </w:tr>
    </w:tbl>
    <w:p>
      <w:pPr>
        <w:spacing w:before="0" w:after="40"/>
        <w:pBdr>
          <w:bottom w:val="single" w:sz="18" w:space="0" w:color="F7B801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0800"/>
      </w:tblGrid>
      <w:tr>
        <w:tc>
          <w:tcPr>
            <w:tcW w:w="10800" w:type="dxa"/>
            <w:shd w:val="clear" w:color="auto" w:fill="E7F5F1"/>
            <w:tcMar>
              <w:top w:w="120" w:type="dxa"/>
              <w:left w:w="160" w:type="dxa"/>
              <w:bottom w:w="120" w:type="dxa"/>
              <w:right w:w="160" w:type="dxa"/>
            </w:tcMar>
            <w:tcBorders>
              <w:top w:val="nil"/>
              <w:left w:val="single" w:sz="30" w:space="0" w:color="2EA891"/>
              <w:bottom w:val="nil"/>
              <w:right w:val="nil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9"/>
              </w:rPr>
              <w:t xml:space="preserve">Visionblox LLC </w:t>
            </w:r>
            <w:r>
              <w:rPr>
                <w:rFonts w:ascii="Arial" w:hAnsi="Arial" w:cs="Arial"/>
                <w:b w:val="0"/>
                <w:i w:val="0"/>
                <w:color w:val="2E2E2E"/>
                <w:sz w:val="18"/>
              </w:rPr>
              <w:t xml:space="preserve">is a San Jose, CA-based minority-owned small business systems integrator delivering healthcare IT, AI/ML, cloud, and enterprise modernization services to Federal and SLED clients. Our team brings </w:t>
            </w:r>
            <w:r>
              <w:rPr>
                <w:rFonts w:ascii="Arial" w:hAnsi="Arial" w:cs="Arial"/>
                <w:b/>
                <w:i w:val="0"/>
                <w:color w:val="2EA891"/>
                <w:sz w:val="18"/>
              </w:rPr>
              <w:t>100+ years</w:t>
            </w:r>
            <w:r>
              <w:rPr>
                <w:rFonts w:ascii="Arial" w:hAnsi="Arial" w:cs="Arial"/>
                <w:b w:val="0"/>
                <w:i w:val="0"/>
                <w:color w:val="2E2E2E"/>
                <w:sz w:val="18"/>
              </w:rPr>
              <w:t xml:space="preserve"> of combined experience and </w:t>
            </w:r>
            <w:r>
              <w:rPr>
                <w:rFonts w:ascii="Arial" w:hAnsi="Arial" w:cs="Arial"/>
                <w:b/>
                <w:i w:val="0"/>
                <w:color w:val="2EA891"/>
                <w:sz w:val="18"/>
              </w:rPr>
              <w:t>50+ implementations</w:t>
            </w:r>
            <w:r>
              <w:rPr>
                <w:rFonts w:ascii="Arial" w:hAnsi="Arial" w:cs="Arial"/>
                <w:b w:val="0"/>
                <w:i w:val="0"/>
                <w:color w:val="2E2E2E"/>
                <w:sz w:val="18"/>
              </w:rPr>
              <w:t xml:space="preserve"> across integrated health systems, state Medicaid agencies, and national insurers — with quantified, production-scale outcomes on every engagement.</w:t>
            </w:r>
          </w:p>
        </w:tc>
      </w:tr>
    </w:tbl>
    <w:p>
      <w:pPr>
        <w:spacing w:before="180" w:after="80"/>
        <w:pBdr>
          <w:bottom w:val="single" w:sz="8" w:space="2" w:color="2EA891"/>
        </w:pBdr>
      </w:pPr>
      <w:r>
        <w:rPr>
          <w:rFonts w:ascii="Arial" w:hAnsi="Arial" w:cs="Arial"/>
          <w:b/>
          <w:i w:val="0"/>
          <w:color w:val="2EA891"/>
          <w:sz w:val="20"/>
          <w:caps w:val="1"/>
          <w:spacing w:val="48"/>
        </w:rPr>
        <w:t>Core Competencies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Spacing w:w="60" w:type="dxa"/>
      </w:tblPr>
      <w:tblGrid>
        <w:gridCol w:w="3600"/>
        <w:gridCol w:w="3600"/>
        <w:gridCol w:w="3600"/>
      </w:tblGrid>
      <w:tr>
        <w:tc>
          <w:tcPr>
            <w:tcW w:w="3456" w:type="dxa"/>
            <w:shd w:val="clear" w:color="auto" w:fill="E7F5F1"/>
            <w:tcMar>
              <w:top w:w="95" w:type="dxa"/>
              <w:left w:w="120" w:type="dxa"/>
              <w:bottom w:w="95" w:type="dxa"/>
              <w:right w:w="120" w:type="dxa"/>
            </w:tcMar>
            <w:tcBorders>
              <w:top w:val="single" w:sz="22" w:space="0" w:color="2EA891"/>
              <w:left w:val="nil"/>
              <w:bottom w:val="nil"/>
              <w:right w:val="nil"/>
            </w:tcBorders>
          </w:tcPr>
          <w:p>
            <w:pPr>
              <w:spacing w:before="0" w:after="60" w:line="245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8"/>
              </w:rPr>
              <w:t>Healthcare IT &amp; Interoperability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5"/>
              </w:rPr>
              <w:t>EHR/EMR integration (Epic), HL7 v2/FHIR APIs, 21st Century Cures Act compliance, patient portals, telehealth, Medicaid modernization (MITA-compliant).</w:t>
            </w:r>
          </w:p>
        </w:tc>
        <w:tc>
          <w:tcPr>
            <w:tcW w:w="3456" w:type="dxa"/>
            <w:shd w:val="clear" w:color="auto" w:fill="E7F5F1"/>
            <w:tcMar>
              <w:top w:w="95" w:type="dxa"/>
              <w:left w:w="120" w:type="dxa"/>
              <w:bottom w:w="95" w:type="dxa"/>
              <w:right w:w="120" w:type="dxa"/>
            </w:tcMar>
            <w:tcBorders>
              <w:top w:val="single" w:sz="22" w:space="0" w:color="2EA891"/>
              <w:left w:val="nil"/>
              <w:bottom w:val="nil"/>
              <w:right w:val="nil"/>
            </w:tcBorders>
          </w:tcPr>
          <w:p>
            <w:pPr>
              <w:spacing w:before="0" w:after="60" w:line="245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8"/>
              </w:rPr>
              <w:t>AI/ML &amp; Document Intelligence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5"/>
              </w:rPr>
              <w:t>Intelligent document processing, OCR/NLP pipelines at 96% accuracy, predictive analytics, AI-assisted workflow automation delivering 60% labor reduction.</w:t>
            </w:r>
          </w:p>
        </w:tc>
        <w:tc>
          <w:tcPr>
            <w:tcW w:w="3456" w:type="dxa"/>
            <w:shd w:val="clear" w:color="auto" w:fill="E7F5F1"/>
            <w:tcMar>
              <w:top w:w="95" w:type="dxa"/>
              <w:left w:w="120" w:type="dxa"/>
              <w:bottom w:w="95" w:type="dxa"/>
              <w:right w:w="120" w:type="dxa"/>
            </w:tcMar>
            <w:tcBorders>
              <w:top w:val="single" w:sz="22" w:space="0" w:color="2EA891"/>
              <w:left w:val="nil"/>
              <w:bottom w:val="nil"/>
              <w:right w:val="nil"/>
            </w:tcBorders>
          </w:tcPr>
          <w:p>
            <w:pPr>
              <w:spacing w:before="0" w:after="60" w:line="245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8"/>
              </w:rPr>
              <w:t>Cloud &amp; Custom Development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5"/>
              </w:rPr>
              <w:t>Cloud-native development on AWS (Batch, Lambda, EMR), microservices, serverless ETL, PHI-secure architectures, DevSecOps, legacy modernization.</w:t>
            </w:r>
          </w:p>
        </w:tc>
      </w:tr>
      <w:tr>
        <w:tc>
          <w:tcPr>
            <w:tcW w:w="3456" w:type="dxa"/>
            <w:shd w:val="clear" w:color="auto" w:fill="E7F5F1"/>
            <w:tcMar>
              <w:top w:w="95" w:type="dxa"/>
              <w:left w:w="120" w:type="dxa"/>
              <w:bottom w:w="95" w:type="dxa"/>
              <w:right w:w="120" w:type="dxa"/>
            </w:tcMar>
            <w:tcBorders>
              <w:top w:val="single" w:sz="22" w:space="0" w:color="2EA891"/>
              <w:left w:val="nil"/>
              <w:bottom w:val="nil"/>
              <w:right w:val="nil"/>
            </w:tcBorders>
          </w:tcPr>
          <w:p>
            <w:pPr>
              <w:spacing w:before="0" w:after="60" w:line="245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8"/>
              </w:rPr>
              <w:t>Enterprise SAP S/4HANA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5"/>
              </w:rPr>
              <w:t>ERP modernization and migration, S/4HANA implementation and integration for large-scale enterprise operations, $2M+ annual savings delivered.</w:t>
            </w:r>
          </w:p>
        </w:tc>
        <w:tc>
          <w:tcPr>
            <w:tcW w:w="3456" w:type="dxa"/>
            <w:shd w:val="clear" w:color="auto" w:fill="E7F5F1"/>
            <w:tcMar>
              <w:top w:w="95" w:type="dxa"/>
              <w:left w:w="120" w:type="dxa"/>
              <w:bottom w:w="95" w:type="dxa"/>
              <w:right w:w="120" w:type="dxa"/>
            </w:tcMar>
            <w:tcBorders>
              <w:top w:val="single" w:sz="22" w:space="0" w:color="2EA891"/>
              <w:left w:val="nil"/>
              <w:bottom w:val="nil"/>
              <w:right w:val="nil"/>
            </w:tcBorders>
          </w:tcPr>
          <w:p>
            <w:pPr>
              <w:spacing w:before="0" w:after="60" w:line="245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8"/>
              </w:rPr>
              <w:t>Cybersecurity &amp; Compliance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5"/>
              </w:rPr>
              <w:t>HIPAA/PHI security engineering, HITRUST-aligned controls, secure SDLC, healthcare data protection across cloud and hybrid environments.</w:t>
            </w:r>
          </w:p>
        </w:tc>
        <w:tc>
          <w:tcPr>
            <w:tcW w:w="3456" w:type="dxa"/>
            <w:shd w:val="clear" w:color="auto" w:fill="E7F5F1"/>
            <w:tcMar>
              <w:top w:w="95" w:type="dxa"/>
              <w:left w:w="120" w:type="dxa"/>
              <w:bottom w:w="95" w:type="dxa"/>
              <w:right w:w="120" w:type="dxa"/>
            </w:tcMar>
            <w:tcBorders>
              <w:top w:val="single" w:sz="22" w:space="0" w:color="2EA891"/>
              <w:left w:val="nil"/>
              <w:bottom w:val="nil"/>
              <w:right w:val="nil"/>
            </w:tcBorders>
          </w:tcPr>
          <w:p>
            <w:pPr>
              <w:spacing w:before="0" w:after="60" w:line="245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8"/>
              </w:rPr>
              <w:t>Data Engineering &amp; Analytics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5"/>
              </w:rPr>
              <w:t>High-volume claims and clinical data pipelines processing millions of daily transactions, business intelligence, real-time dashboards.</w:t>
            </w:r>
          </w:p>
        </w:tc>
      </w:tr>
    </w:tbl>
    <w:p>
      <w:pPr>
        <w:spacing w:before="180" w:after="80"/>
        <w:pBdr>
          <w:bottom w:val="single" w:sz="8" w:space="2" w:color="2EA891"/>
        </w:pBdr>
      </w:pPr>
      <w:r>
        <w:rPr>
          <w:rFonts w:ascii="Arial" w:hAnsi="Arial" w:cs="Arial"/>
          <w:b/>
          <w:i w:val="0"/>
          <w:color w:val="2EA891"/>
          <w:sz w:val="20"/>
          <w:caps w:val="1"/>
          <w:spacing w:val="48"/>
        </w:rPr>
        <w:t>Past Performance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600"/>
        <w:gridCol w:w="3600"/>
        <w:gridCol w:w="3600"/>
      </w:tblGrid>
      <w:tr>
        <w:trPr>
          <w:cantSplit/>
        </w:trPr>
        <w:tc>
          <w:tcPr>
            <w:tcW w:w="5112" w:type="dxa"/>
            <w:shd w:val="clear" w:color="auto" w:fill="232D5A"/>
            <w:vAlign w:val="center"/>
            <w:tcMar>
              <w:top w:w="70" w:type="dxa"/>
              <w:left w:w="120" w:type="dxa"/>
              <w:bottom w:w="7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  <w:caps w:val="1"/>
                <w:spacing w:val="30"/>
              </w:rPr>
              <w:t>PROJECT</w:t>
            </w:r>
          </w:p>
        </w:tc>
        <w:tc>
          <w:tcPr>
            <w:tcW w:w="3960" w:type="dxa"/>
            <w:shd w:val="clear" w:color="auto" w:fill="232D5A"/>
            <w:vAlign w:val="center"/>
            <w:tcMar>
              <w:top w:w="70" w:type="dxa"/>
              <w:left w:w="120" w:type="dxa"/>
              <w:bottom w:w="7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  <w:caps w:val="1"/>
                <w:spacing w:val="30"/>
              </w:rPr>
              <w:t>OUTCOME</w:t>
            </w:r>
          </w:p>
        </w:tc>
        <w:tc>
          <w:tcPr>
            <w:tcW w:w="1728" w:type="dxa"/>
            <w:shd w:val="clear" w:color="auto" w:fill="232D5A"/>
            <w:vAlign w:val="center"/>
            <w:tcMar>
              <w:top w:w="70" w:type="dxa"/>
              <w:left w:w="120" w:type="dxa"/>
              <w:bottom w:w="70" w:type="dxa"/>
              <w:right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  <w:caps w:val="1"/>
                <w:spacing w:val="30"/>
              </w:rPr>
              <w:t>VALUE</w:t>
            </w:r>
          </w:p>
        </w:tc>
      </w:tr>
      <w:tr>
        <w:trPr>
          <w:cantSplit/>
        </w:trPr>
        <w:tc>
          <w:tcPr>
            <w:tcW w:w="5112" w:type="dxa"/>
            <w:shd w:val="clear" w:color="auto" w:fill="FFFFFF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  <w:tcBorders>
              <w:top w:val="nil"/>
              <w:left w:val="single" w:sz="26" w:space="0" w:color="F7B801"/>
              <w:bottom w:val="single" w:sz="4" w:space="0" w:color="D9DEE6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F7B801"/>
                <w:sz w:val="13"/>
                <w:caps w:val="1"/>
                <w:spacing w:val="30"/>
              </w:rPr>
              <w:t xml:space="preserve">PRIME  </w:t>
            </w:r>
            <w:r>
              <w:rPr>
                <w:rFonts w:ascii="Arial" w:hAnsi="Arial" w:cs="Arial"/>
                <w:b/>
                <w:i w:val="0"/>
                <w:color w:val="232D5A"/>
                <w:sz w:val="16"/>
              </w:rPr>
              <w:t>State of Montana — Master AI Products &amp; Services Contract (SPB26-0608GW-VSNBLX)</w:t>
            </w:r>
          </w:p>
        </w:tc>
        <w:tc>
          <w:tcPr>
            <w:tcW w:w="3960" w:type="dxa"/>
            <w:shd w:val="clear" w:color="auto" w:fill="FFFFFF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5"/>
              </w:rPr>
              <w:t>Competitively awarded statewide master contract — both tracks, executed Aug 2026. AI software solutions for state government operations.</w:t>
            </w:r>
          </w:p>
        </w:tc>
        <w:tc>
          <w:tcPr>
            <w:tcW w:w="1728" w:type="dxa"/>
            <w:shd w:val="clear" w:color="auto" w:fill="FFFFFF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  <w:tcBorders>
              <w:top w:val="nil"/>
              <w:left w:val="single" w:sz="18" w:space="0" w:color="F7B801"/>
              <w:bottom w:val="single" w:sz="4" w:space="0" w:color="D9DEE6"/>
              <w:right w:val="nil"/>
            </w:tcBorders>
          </w:tcPr>
          <w:p>
            <w:pPr>
              <w:spacing w:before="0" w:after="0" w:line="245" w:lineRule="auto"/>
              <w:jc w:val="right"/>
            </w:pPr>
            <w:r>
              <w:rPr>
                <w:rFonts w:ascii="Arial" w:hAnsi="Arial" w:cs="Arial"/>
                <w:b/>
                <w:i w:val="0"/>
                <w:color w:val="232D5A"/>
                <w:sz w:val="19"/>
              </w:rPr>
              <w:t>Through 2028</w:t>
            </w:r>
            <w:r>
              <w:br/>
            </w:r>
            <w:r>
              <w:rPr>
                <w:rFonts w:ascii="Arial" w:hAnsi="Arial" w:cs="Arial"/>
                <w:b w:val="0"/>
                <w:i w:val="0"/>
                <w:color w:val="2EA891"/>
                <w:sz w:val="13"/>
              </w:rPr>
              <w:t>Cooperative · nationwide</w:t>
            </w:r>
          </w:p>
        </w:tc>
      </w:tr>
      <w:tr>
        <w:trPr>
          <w:cantSplit/>
        </w:trPr>
        <w:tc>
          <w:tcPr>
            <w:tcW w:w="5112" w:type="dxa"/>
            <w:shd w:val="clear" w:color="auto" w:fill="E7F5F1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6"/>
              </w:rPr>
              <w:t>Patient Portal &amp; EHR Integration — Leading National Integrated Healthcare System</w:t>
            </w:r>
          </w:p>
        </w:tc>
        <w:tc>
          <w:tcPr>
            <w:tcW w:w="3960" w:type="dxa"/>
            <w:shd w:val="clear" w:color="auto" w:fill="E7F5F1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5"/>
              </w:rPr>
              <w:t>Epic/HL7 &amp; Cures Act integration; patient portal serving 100K+ daily users at 99.8% SLA</w:t>
            </w:r>
          </w:p>
        </w:tc>
        <w:tc>
          <w:tcPr>
            <w:tcW w:w="1728" w:type="dxa"/>
            <w:shd w:val="clear" w:color="auto" w:fill="E7F5F1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  <w:tcBorders>
              <w:top w:val="nil"/>
              <w:left w:val="single" w:sz="18" w:space="0" w:color="F7B801"/>
              <w:bottom w:val="single" w:sz="4" w:space="0" w:color="D9DEE6"/>
              <w:right w:val="nil"/>
            </w:tcBorders>
          </w:tcPr>
          <w:p>
            <w:pPr>
              <w:spacing w:before="0" w:after="0" w:line="245" w:lineRule="auto"/>
              <w:jc w:val="right"/>
            </w:pPr>
            <w:r>
              <w:rPr>
                <w:rFonts w:ascii="Arial" w:hAnsi="Arial" w:cs="Arial"/>
                <w:b/>
                <w:i w:val="0"/>
                <w:color w:val="232D5A"/>
                <w:sz w:val="19"/>
              </w:rPr>
              <w:t>~$1.2M</w:t>
            </w:r>
          </w:p>
        </w:tc>
      </w:tr>
      <w:tr>
        <w:trPr>
          <w:cantSplit/>
        </w:trPr>
        <w:tc>
          <w:tcPr>
            <w:tcW w:w="5112" w:type="dxa"/>
            <w:shd w:val="clear" w:color="auto" w:fill="FFFFFF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6"/>
              </w:rPr>
              <w:t>CA DHCS Claims &amp; Fiscal Reporting System (CFRS) — State Medicaid</w:t>
            </w:r>
          </w:p>
        </w:tc>
        <w:tc>
          <w:tcPr>
            <w:tcW w:w="3960" w:type="dxa"/>
            <w:shd w:val="clear" w:color="auto" w:fill="FFFFFF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5"/>
              </w:rPr>
              <w:t>MITA-compliant modernization; AI document intelligence at 96% OCR accuracy; 60% labor reduction</w:t>
            </w:r>
          </w:p>
        </w:tc>
        <w:tc>
          <w:tcPr>
            <w:tcW w:w="1728" w:type="dxa"/>
            <w:shd w:val="clear" w:color="auto" w:fill="FFFFFF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  <w:tcBorders>
              <w:top w:val="nil"/>
              <w:left w:val="single" w:sz="18" w:space="0" w:color="F7B801"/>
              <w:bottom w:val="single" w:sz="4" w:space="0" w:color="D9DEE6"/>
              <w:right w:val="nil"/>
            </w:tcBorders>
          </w:tcPr>
          <w:p>
            <w:pPr>
              <w:spacing w:before="0" w:after="0" w:line="245" w:lineRule="auto"/>
              <w:jc w:val="right"/>
            </w:pPr>
            <w:r>
              <w:rPr>
                <w:rFonts w:ascii="Arial" w:hAnsi="Arial" w:cs="Arial"/>
                <w:b/>
                <w:i w:val="0"/>
                <w:color w:val="232D5A"/>
                <w:sz w:val="19"/>
              </w:rPr>
              <w:t>~$2.1M</w:t>
            </w:r>
          </w:p>
        </w:tc>
      </w:tr>
      <w:tr>
        <w:trPr>
          <w:cantSplit/>
        </w:trPr>
        <w:tc>
          <w:tcPr>
            <w:tcW w:w="5112" w:type="dxa"/>
            <w:shd w:val="clear" w:color="auto" w:fill="E7F5F1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6"/>
              </w:rPr>
              <w:t>Claims Processing Modernization — National Health Insurer</w:t>
            </w:r>
          </w:p>
        </w:tc>
        <w:tc>
          <w:tcPr>
            <w:tcW w:w="3960" w:type="dxa"/>
            <w:shd w:val="clear" w:color="auto" w:fill="E7F5F1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5"/>
              </w:rPr>
              <w:t>AWS Batch/Lambda/EMR pipeline processing millions of daily claims</w:t>
            </w:r>
          </w:p>
        </w:tc>
        <w:tc>
          <w:tcPr>
            <w:tcW w:w="1728" w:type="dxa"/>
            <w:shd w:val="clear" w:color="auto" w:fill="E7F5F1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  <w:tcBorders>
              <w:top w:val="nil"/>
              <w:left w:val="single" w:sz="18" w:space="0" w:color="F7B801"/>
              <w:bottom w:val="single" w:sz="4" w:space="0" w:color="D9DEE6"/>
              <w:right w:val="nil"/>
            </w:tcBorders>
          </w:tcPr>
          <w:p>
            <w:pPr>
              <w:spacing w:before="0" w:after="0" w:line="245" w:lineRule="auto"/>
              <w:jc w:val="right"/>
            </w:pPr>
            <w:r>
              <w:rPr>
                <w:rFonts w:ascii="Arial" w:hAnsi="Arial" w:cs="Arial"/>
                <w:b/>
                <w:i w:val="0"/>
                <w:color w:val="232D5A"/>
                <w:sz w:val="19"/>
              </w:rPr>
              <w:t>Enterprise</w:t>
            </w:r>
          </w:p>
        </w:tc>
      </w:tr>
      <w:tr>
        <w:trPr>
          <w:cantSplit/>
        </w:trPr>
        <w:tc>
          <w:tcPr>
            <w:tcW w:w="5112" w:type="dxa"/>
            <w:shd w:val="clear" w:color="auto" w:fill="FFFFFF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6"/>
              </w:rPr>
              <w:t>Urgent Care Data Integration — Regional Health Network</w:t>
            </w:r>
          </w:p>
        </w:tc>
        <w:tc>
          <w:tcPr>
            <w:tcW w:w="3960" w:type="dxa"/>
            <w:shd w:val="clear" w:color="auto" w:fill="FFFFFF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5"/>
              </w:rPr>
              <w:t>HL7/FHIR ETL, microservices architecture, PHI-secure AWS environment</w:t>
            </w:r>
          </w:p>
        </w:tc>
        <w:tc>
          <w:tcPr>
            <w:tcW w:w="1728" w:type="dxa"/>
            <w:shd w:val="clear" w:color="auto" w:fill="FFFFFF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  <w:tcBorders>
              <w:top w:val="nil"/>
              <w:left w:val="single" w:sz="18" w:space="0" w:color="F7B801"/>
              <w:bottom w:val="single" w:sz="4" w:space="0" w:color="D9DEE6"/>
              <w:right w:val="nil"/>
            </w:tcBorders>
          </w:tcPr>
          <w:p>
            <w:pPr>
              <w:spacing w:before="0" w:after="0" w:line="245" w:lineRule="auto"/>
              <w:jc w:val="right"/>
            </w:pPr>
            <w:r>
              <w:rPr>
                <w:rFonts w:ascii="Arial" w:hAnsi="Arial" w:cs="Arial"/>
                <w:b/>
                <w:i w:val="0"/>
                <w:color w:val="232D5A"/>
                <w:sz w:val="19"/>
              </w:rPr>
              <w:t>Multi-phase</w:t>
            </w:r>
          </w:p>
        </w:tc>
      </w:tr>
    </w:tbl>
    <w:p>
      <w:pPr>
        <w:spacing w:before="180" w:after="80"/>
        <w:pBdr>
          <w:bottom w:val="single" w:sz="8" w:space="2" w:color="2EA891"/>
        </w:pBdr>
      </w:pPr>
      <w:r>
        <w:rPr>
          <w:rFonts w:ascii="Arial" w:hAnsi="Arial" w:cs="Arial"/>
          <w:b/>
          <w:i w:val="0"/>
          <w:color w:val="2EA891"/>
          <w:sz w:val="20"/>
          <w:caps w:val="1"/>
          <w:spacing w:val="48"/>
        </w:rPr>
        <w:t>Why Visionblox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600"/>
        <w:gridCol w:w="3600"/>
        <w:gridCol w:w="3600"/>
      </w:tblGrid>
      <w:tr>
        <w:trPr>
          <w:cantSplit/>
        </w:trPr>
        <w:tc>
          <w:tcPr>
            <w:tcW w:w="3384" w:type="dxa"/>
            <w:shd w:val="clear" w:color="auto" w:fill="232D5A"/>
            <w:vAlign w:val="center"/>
            <w:tcMar>
              <w:top w:w="70" w:type="dxa"/>
              <w:left w:w="120" w:type="dxa"/>
              <w:bottom w:w="7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  <w:caps w:val="1"/>
                <w:spacing w:val="30"/>
              </w:rPr>
              <w:t>CAPABILITY</w:t>
            </w:r>
          </w:p>
        </w:tc>
        <w:tc>
          <w:tcPr>
            <w:tcW w:w="3960" w:type="dxa"/>
            <w:shd w:val="clear" w:color="auto" w:fill="232D5A"/>
            <w:vAlign w:val="center"/>
            <w:tcMar>
              <w:top w:w="70" w:type="dxa"/>
              <w:left w:w="120" w:type="dxa"/>
              <w:bottom w:w="7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  <w:caps w:val="1"/>
                <w:spacing w:val="30"/>
              </w:rPr>
              <w:t>PROOF POINT</w:t>
            </w:r>
          </w:p>
        </w:tc>
        <w:tc>
          <w:tcPr>
            <w:tcW w:w="3456" w:type="dxa"/>
            <w:shd w:val="clear" w:color="auto" w:fill="232D5A"/>
            <w:vAlign w:val="center"/>
            <w:tcMar>
              <w:top w:w="70" w:type="dxa"/>
              <w:left w:w="120" w:type="dxa"/>
              <w:bottom w:w="7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  <w:caps w:val="1"/>
                <w:spacing w:val="30"/>
              </w:rPr>
              <w:t>GOVERNMENT BENEFIT</w:t>
            </w:r>
          </w:p>
        </w:tc>
      </w:tr>
      <w:tr>
        <w:trPr>
          <w:cantSplit/>
        </w:trPr>
        <w:tc>
          <w:tcPr>
            <w:tcW w:w="3384" w:type="dxa"/>
            <w:shd w:val="clear" w:color="auto" w:fill="FFFFFF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6"/>
              </w:rPr>
              <w:t>Healthcare-native systems integrator</w:t>
            </w:r>
          </w:p>
        </w:tc>
        <w:tc>
          <w:tcPr>
            <w:tcW w:w="3960" w:type="dxa"/>
            <w:shd w:val="clear" w:color="auto" w:fill="FFFFFF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Epic, HL7/FHIR, MITA delivery at state Medicaid scale</w:t>
            </w:r>
          </w:p>
        </w:tc>
        <w:tc>
          <w:tcPr>
            <w:tcW w:w="3456" w:type="dxa"/>
            <w:shd w:val="clear" w:color="auto" w:fill="FFFFFF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Mission-ready for federal health IT modernization</w:t>
            </w:r>
          </w:p>
        </w:tc>
      </w:tr>
      <w:tr>
        <w:trPr>
          <w:cantSplit/>
        </w:trPr>
        <w:tc>
          <w:tcPr>
            <w:tcW w:w="3384" w:type="dxa"/>
            <w:shd w:val="clear" w:color="auto" w:fill="E7F5F1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6"/>
              </w:rPr>
              <w:t>Proven AI at production scale</w:t>
            </w:r>
          </w:p>
        </w:tc>
        <w:tc>
          <w:tcPr>
            <w:tcW w:w="3960" w:type="dxa"/>
            <w:shd w:val="clear" w:color="auto" w:fill="E7F5F1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96% OCR accuracy; 60% labor reduction in live state operations</w:t>
            </w:r>
          </w:p>
        </w:tc>
        <w:tc>
          <w:tcPr>
            <w:tcW w:w="3456" w:type="dxa"/>
            <w:shd w:val="clear" w:color="auto" w:fill="E7F5F1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Measurable efficiency gains, not pilots</w:t>
            </w:r>
          </w:p>
        </w:tc>
      </w:tr>
      <w:tr>
        <w:trPr>
          <w:cantSplit/>
        </w:trPr>
        <w:tc>
          <w:tcPr>
            <w:tcW w:w="3384" w:type="dxa"/>
            <w:shd w:val="clear" w:color="auto" w:fill="FFFFFF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6"/>
              </w:rPr>
              <w:t>Small-business agility</w:t>
            </w:r>
          </w:p>
        </w:tc>
        <w:tc>
          <w:tcPr>
            <w:tcW w:w="3960" w:type="dxa"/>
            <w:shd w:val="clear" w:color="auto" w:fill="FFFFFF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Minority-Owned SB; direct principal engagement on every delivery</w:t>
            </w:r>
          </w:p>
        </w:tc>
        <w:tc>
          <w:tcPr>
            <w:tcW w:w="3456" w:type="dxa"/>
            <w:shd w:val="clear" w:color="auto" w:fill="FFFFFF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Set-aside eligible; accountable leadership</w:t>
            </w:r>
          </w:p>
        </w:tc>
      </w:tr>
    </w:tbl>
    <w:p>
      <w:pPr>
        <w:spacing w:before="16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400"/>
        <w:gridCol w:w="5400"/>
      </w:tblGrid>
      <w:tr>
        <w:tc>
          <w:tcPr>
            <w:tcW w:w="6263" w:type="dxa"/>
            <w:shd w:val="clear" w:color="auto" w:fill="232D5A"/>
            <w:vAlign w:val="center"/>
            <w:tcMar>
              <w:top w:w="115" w:type="dxa"/>
              <w:left w:w="160" w:type="dxa"/>
              <w:bottom w:w="115" w:type="dxa"/>
              <w:right w:w="160" w:type="dxa"/>
            </w:tcMar>
            <w:tcBorders>
              <w:top w:val="single" w:sz="26" w:space="0" w:color="F7B801"/>
              <w:left w:val="nil"/>
              <w:bottom w:val="nil"/>
              <w:right w:val="nil"/>
            </w:tcBorders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i w:val="0"/>
                <w:color w:val="F7B801"/>
                <w:sz w:val="16"/>
              </w:rPr>
              <w:t xml:space="preserve">NAICS  </w:t>
            </w:r>
            <w:r>
              <w:rPr>
                <w:rFonts w:ascii="Arial" w:hAnsi="Arial" w:cs="Arial"/>
                <w:b w:val="0"/>
                <w:i w:val="0"/>
                <w:color w:val="F5F5F0"/>
                <w:sz w:val="16"/>
              </w:rPr>
              <w:t>541511 • 541512 • 541519 • 518210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b w:val="0"/>
                <w:i w:val="0"/>
                <w:color w:val="7FD4C1"/>
                <w:sz w:val="15"/>
              </w:rPr>
              <w:t>Minority-Owned Small Business  •  TAA Compliant  •  Section 889 Compliant</w:t>
            </w:r>
          </w:p>
        </w:tc>
        <w:tc>
          <w:tcPr>
            <w:tcW w:w="4536" w:type="dxa"/>
            <w:shd w:val="clear" w:color="auto" w:fill="232D5A"/>
            <w:vAlign w:val="center"/>
            <w:tcMar>
              <w:top w:w="115" w:type="dxa"/>
              <w:left w:w="160" w:type="dxa"/>
              <w:bottom w:w="115" w:type="dxa"/>
              <w:right w:w="160" w:type="dxa"/>
            </w:tcMar>
            <w:tcBorders>
              <w:top w:val="single" w:sz="26" w:space="0" w:color="F7B801"/>
              <w:left w:val="nil"/>
              <w:bottom w:val="nil"/>
              <w:right w:val="nil"/>
            </w:tcBorders>
          </w:tcPr>
          <w:p>
            <w:pPr>
              <w:spacing w:before="0" w:after="40"/>
              <w:jc w:val="right"/>
            </w:pPr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Khaalis Wooden, MBA</w:t>
            </w:r>
            <w:r>
              <w:rPr>
                <w:rFonts w:ascii="Arial" w:hAnsi="Arial" w:cs="Arial"/>
                <w:b w:val="0"/>
                <w:i w:val="0"/>
                <w:color w:val="7FD4C1"/>
                <w:sz w:val="15"/>
              </w:rPr>
              <w:t xml:space="preserve">  — Director, Enterprise Capture &amp; Compliance</w:t>
            </w:r>
          </w:p>
          <w:p>
            <w:pPr>
              <w:spacing w:before="0" w:after="0"/>
              <w:jc w:val="right"/>
            </w:pPr>
            <w:r>
              <w:rPr>
                <w:rFonts w:ascii="Arial" w:hAnsi="Arial" w:cs="Arial"/>
                <w:b w:val="0"/>
                <w:i w:val="0"/>
                <w:color w:val="F5F5F0"/>
                <w:sz w:val="15"/>
              </w:rPr>
              <w:t>khaalis.wooden@visionblox.com  •  (256) 988-1130  •  visionblox.org</w:t>
            </w:r>
          </w:p>
        </w:tc>
      </w:tr>
    </w:tbl>
    <w:sectPr w:rsidR="00FC693F" w:rsidRPr="0006063C" w:rsidSect="00034616">
      <w:pgSz w:w="12240" w:h="15840"/>
      <w:pgMar w:top="648" w:right="720" w:bottom="64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E2E2E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