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c>
          <w:tcPr>
            <w:tcW w:w="6480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60"/>
            </w:pPr>
            <w:r>
              <w:drawing>
                <wp:inline xmlns:a="http://schemas.openxmlformats.org/drawingml/2006/main" xmlns:pic="http://schemas.openxmlformats.org/drawingml/2006/picture">
                  <wp:extent cx="2194560" cy="924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sionblox-logo-kno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924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b/>
                <w:i w:val="0"/>
                <w:color w:val="7FD4C1"/>
                <w:sz w:val="13"/>
                <w:caps w:val="1"/>
                <w:spacing w:val="60"/>
              </w:rPr>
              <w:t>BUILD WHAT DOESN'T EXIST YET</w:t>
            </w:r>
          </w:p>
        </w:tc>
        <w:tc>
          <w:tcPr>
            <w:tcW w:w="4176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22"/>
                <w:spacing w:val="20"/>
              </w:rPr>
              <w:t>SEWP VI PARTNER PROFILE</w:t>
            </w:r>
          </w:p>
          <w:p>
            <w:pPr>
              <w:spacing w:before="0" w:after="100"/>
              <w:jc w:val="right"/>
            </w:pPr>
            <w:r>
              <w:rPr>
                <w:rFonts w:ascii="Arial" w:hAnsi="Arial" w:cs="Arial"/>
                <w:b w:val="0"/>
                <w:i w:val="0"/>
                <w:color w:val="7FD4C1"/>
                <w:sz w:val="16"/>
              </w:rPr>
              <w:t>Capability Keywords &amp; Company Information</w:t>
            </w:r>
          </w:p>
          <w:p>
            <w:pPr>
              <w:spacing w:before="0" w:after="0"/>
              <w:jc w:val="right"/>
              <w:pBdr>
                <w:top w:val="single" w:sz="6" w:space="3" w:color="F7B801"/>
              </w:pBdr>
            </w:pP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 xml:space="preserve">Prepared for </w:t>
            </w: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>TES Consultants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 xml:space="preserve">   •   August 2026</w:t>
            </w:r>
          </w:p>
        </w:tc>
      </w:tr>
    </w:tbl>
    <w:p>
      <w:pPr>
        <w:spacing w:before="0" w:after="40"/>
        <w:pBdr>
          <w:bottom w:val="single" w:sz="18" w:space="0" w:color="F7B801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656"/>
      </w:tblGrid>
      <w:tr>
        <w:tc>
          <w:tcPr>
            <w:tcW w:w="10656" w:type="dxa"/>
            <w:shd w:val="clear" w:color="auto" w:fill="E7F5F1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nil"/>
              <w:left w:val="single" w:sz="30" w:space="0" w:color="2EA891"/>
              <w:bottom w:val="nil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Prepared for the TES SEWP VI Partner Capability Catalog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and opportunity-matching automation engine (SEWP VI GWAC, Category C — ITC/AV Mission-Based Services). Keywords are grouped by capability domain; individual terms are semicolon-delimited for direct ingestion.</w:t>
            </w:r>
          </w:p>
        </w:tc>
      </w:tr>
    </w:tbl>
    <w:p>
      <w:pPr>
        <w:spacing w:before="20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Capability Keywords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Healthcare IT &amp; Interoperability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healthcare IT; health IT modernization; EHR integration; EMR; Epic; HL7; FHIR; HL7 v2; FHIR API; interoperability; 21st Century Cures Act; patient portal; patient access; telehealth; clinical data integration; health information exchange; prior authorization API; CMS interoperability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Medicaid &amp; Health Programs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Medicaid modernization; MITA; MMIS; MES; claims processing; fiscal reporting; eligibility systems; state health IT; CMS compliance; healthcare claims; provider data management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AI / ML &amp; Document Intelligence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artificial intelligence; machine learning; AI/ML; intelligent document processing; document intelligence; OCR; NLP; natural language processing; predictive analytics; workflow automation; AI governance; NIST AI RMF; generative AI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Cloud &amp; DevSecOps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AWS; cloud migration; cloud-native development; serverless; AWS Lambda; AWS Batch; Amazon EMR; microservices; containers; DevSecOps; CI/CD; infrastructure as code; PHI-secure cloud; FedRAMP-aligned architecture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Software Development &amp; Integration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custom software development; application development; application modernization; legacy modernization; systems integration; API development; ETL; data pipelines; data engineering; database modernization; agile development; full-stack development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Data &amp; Analytics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data analytics; business intelligence; data warehousing; real-time dashboards; big data; high-volume transaction processing; data visualization; reporting systems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Enterprise ERP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SAP; S/4HANA; SAP S/4HANA; ERP modernization; ERP migration; enterprise applications; enterprise integration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Cybersecurity &amp; Compliance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cybersecurity; HIPAA; PHI security; healthcare data security; HITRUST; secure SDLC; security engineering; zero trust; data protection; Section 889; TAA compliant</w:t>
            </w:r>
          </w:p>
        </w:tc>
      </w:tr>
    </w:tbl>
    <w:p>
      <w:pPr>
        <w:spacing w:before="20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Company Information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Legal Name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Visionblox LLC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Headquarters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2570 N. First Street, San Jose, CA 95131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CAGE / UEI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9Z4X2  /  H4X2Z7R9E3E3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Socioeconomic Status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Minority-Owned Small Business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Compliance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TAA Compliant; Section 889 Compliant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NAICS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541511 (primary), 541512, 541519, 518210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Awarded Contract Vehicle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State of Montana — Master AI Products &amp; Services Contract (SPB26-0608GW-VSNBLX); competitively awarded, both tracks (Aug 2026); term through 2028; cooperative purchasing available nationwide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Representative Past Performance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Patient portal / EHR (~$1.2M; 100K+ daily users; 99.8% SLA)  •  CA DHCS CFRS (~$2.1M; 96% OCR; 60% labor reduction)  •  National insurer claims (AWS; millions/day)  •  Urgent-care HL7/FHIR ETL (PHI-secure AWS)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Business Model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Systems integrator and services provider — custom development, integration, and modernization. Not a COTS reseller or product operator.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Preferred Contract Types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T&amp;M, Labor Hour, Cost-Plus, or FFP for custom development and systems integration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Order Sweet Spot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$500K–$5M task orders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Target Agencies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VA OIT, HHS (CMS, HRSA, IHS), state Medicaid/DOH agencies; open to all SEWP VI ordering activities with healthcare, AI/ML, cloud, or modernization requirements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Teaming Posture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Subcontractor / delivery partner to TES on SEWP VI Category C task orders; niche prime-referral candidate for healthcare-heavy requirements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BD Point of Contact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Khaalis Wooden, MBA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Director of Enterprise Capture &amp; Compliance | khaalis.wooden@visionblox.com | (256) 988-1130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Technical POC (Evaluations)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Antony Jayaraj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Director, Data Engineering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Executive Sponsor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Akil R. Chellam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CEO &amp; Principal Architect (AWS-SAA, PMP) | akil.chellam@visionblox.com | 925-481-4595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Web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visionblox.org</w:t>
            </w:r>
          </w:p>
        </w:tc>
      </w:tr>
    </w:tbl>
    <w:p>
      <w:pPr>
        <w:spacing w:before="1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c>
          <w:tcPr>
            <w:tcW w:w="6192" w:type="dxa"/>
            <w:shd w:val="clear" w:color="auto" w:fill="232D5A"/>
            <w:vAlign w:val="center"/>
            <w:tcMar>
              <w:top w:w="110" w:type="dxa"/>
              <w:left w:w="160" w:type="dxa"/>
              <w:bottom w:w="110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Visionblox LLC</w:t>
            </w: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 xml:space="preserve">   •   Minority-Owned Small Business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CAGE 9Z4X2  •  UEI H4X2Z7R9E3E3  •  SEWP VI Category C</w:t>
            </w:r>
          </w:p>
        </w:tc>
        <w:tc>
          <w:tcPr>
            <w:tcW w:w="4464" w:type="dxa"/>
            <w:shd w:val="clear" w:color="auto" w:fill="232D5A"/>
            <w:vAlign w:val="center"/>
            <w:tcMar>
              <w:top w:w="110" w:type="dxa"/>
              <w:left w:w="160" w:type="dxa"/>
              <w:bottom w:w="110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khaalis.wooden@visionblox.com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(256) 988-1130   •   visionblox.org</w:t>
            </w:r>
          </w:p>
        </w:tc>
      </w:tr>
    </w:tbl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E2E2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