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3200"/>
        <w:gridCol w:w="30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val="clear"/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80975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7B801"/>
                <w:sz w:val="20"/>
                <w:szCs w:val="20"/>
              </w:rPr>
              <w:t xml:space="preserve">AI-Powered Federal Solutions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Healthcare IT  •  Cloud  •  AI/ML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val="clear"/>
            <w:tcMar>
              <w:top w:type="dxa" w:w="120"/>
              <w:left w:type="dxa" w:w="100"/>
              <w:bottom w:type="dxa" w:w="120"/>
              <w:right w:type="dxa" w:w="20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CAGE: 9Z4X2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UEI: H4X2Z7R9E3E3</w:t>
            </w:r>
          </w:p>
        </w:tc>
      </w:tr>
    </w:tbl>
    <w:p>
      <w:pPr>
        <w:spacing w:after="6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32D5A"/>
          <w:sz w:val="19"/>
          <w:szCs w:val="19"/>
        </w:rPr>
        <w:t xml:space="preserve">Visionblox LLC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17"/>
          <w:szCs w:val="17"/>
        </w:rPr>
        <w:t xml:space="preserve"> is a San Jose, CA-based minority-owned small business systems integrator delivering healthcare IT, AI/ML, cloud, and enterprise modernization services to Federal and SLED clients. Our team brings 100+ years of combined experience and 50+ implementations across integrated health systems, state Medicaid agencies, and national insurers — with quantified, production-scale outcomes on every engagement.</w:t>
      </w:r>
    </w:p>
    <w:p>
      <w:pPr>
        <w:pBdr>
          <w:bottom w:val="single" w:color="2EA891" w:sz="8" w:space="2"/>
        </w:pBdr>
        <w:spacing w:after="60" w:before="140"/>
      </w:pPr>
      <w:r>
        <w:rPr>
          <w:rFonts w:ascii="Arial" w:cs="Arial" w:eastAsia="Arial" w:hAnsi="Arial"/>
          <w:b/>
          <w:bCs/>
          <w:color w:val="232D5A"/>
          <w:sz w:val="20"/>
          <w:szCs w:val="20"/>
        </w:rPr>
        <w:t xml:space="preserve">CORE COMPETENCIES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A891"/>
                <w:sz w:val="17"/>
                <w:szCs w:val="17"/>
              </w:rPr>
              <w:t xml:space="preserve">Healthcare IT &amp; Interoperability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EHR/EMR integration (Epic), HL7 v2/FHIR APIs, 21st Century Cures Act compliance, patient portals, telehealth, Medicaid modernization (MITA-compliant).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A891"/>
                <w:sz w:val="17"/>
                <w:szCs w:val="17"/>
              </w:rPr>
              <w:t xml:space="preserve">AI/ML &amp; Document Intelligence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Intelligent document processing, OCR/NLP pipelines at 96% accuracy, predictive analytics, AI-assisted workflow automation delivering 60% labor reduction.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A891"/>
                <w:sz w:val="17"/>
                <w:szCs w:val="17"/>
              </w:rPr>
              <w:t xml:space="preserve">Cloud &amp; Custom Development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Cloud-native development on AWS (Batch, Lambda, EMR), microservices, serverless ETL, PHI-secure architectures, DevSecOps, legacy modernization.</w:t>
            </w:r>
          </w:p>
        </w:tc>
      </w:tr>
      <w:tr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A891"/>
                <w:sz w:val="17"/>
                <w:szCs w:val="17"/>
              </w:rPr>
              <w:t xml:space="preserve">Enterprise SAP S/4HANA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ERP modernization and migration, S/4HANA implementation and integration for large-scale enterprise operations, $2M+ annual savings delivered.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A891"/>
                <w:sz w:val="17"/>
                <w:szCs w:val="17"/>
              </w:rPr>
              <w:t xml:space="preserve">Cybersecurity &amp; Compliance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HIPAA/PHI security engineering, HITRUST-aligned controls, secure SDLC, healthcare data protection across cloud and hybrid environments.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A891"/>
                <w:sz w:val="17"/>
                <w:szCs w:val="17"/>
              </w:rPr>
              <w:t xml:space="preserve">Data Engineering &amp; Analytics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High-volume claims and clinical data pipelines processing millions of daily transactions, business intelligence, real-time dashboards.</w:t>
            </w:r>
          </w:p>
        </w:tc>
      </w:tr>
    </w:tbl>
    <w:p>
      <w:pPr>
        <w:pBdr>
          <w:bottom w:val="single" w:color="2EA891" w:sz="8" w:space="2"/>
        </w:pBdr>
        <w:spacing w:after="60" w:before="140"/>
      </w:pPr>
      <w:r>
        <w:rPr>
          <w:rFonts w:ascii="Arial" w:cs="Arial" w:eastAsia="Arial" w:hAnsi="Arial"/>
          <w:b/>
          <w:bCs/>
          <w:color w:val="232D5A"/>
          <w:sz w:val="20"/>
          <w:szCs w:val="20"/>
        </w:rPr>
        <w:t xml:space="preserve">PAST PERFORMANCE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900"/>
        <w:gridCol w:w="2900"/>
      </w:tblGrid>
      <w:tr>
        <w:tc>
          <w:tcPr>
            <w:tcW w:type="dxa" w:w="30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dxa" w:w="49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Outcome</w:t>
            </w:r>
          </w:p>
        </w:tc>
        <w:tc>
          <w:tcPr>
            <w:tcW w:type="dxa" w:w="29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3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Patient Portal &amp; EHR Integration — National Integrated Health System</w:t>
            </w:r>
          </w:p>
        </w:tc>
        <w:tc>
          <w:tcPr>
            <w:tcW w:type="dxa" w:w="49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Epic/HL7 integration, Cures Act-compliant patient portal serving 100K+ daily users at 99.8% SLA</w:t>
            </w:r>
          </w:p>
        </w:tc>
        <w:tc>
          <w:tcPr>
            <w:tcW w:type="dxa" w:w="29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$1.2M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CA DHCS Claims &amp; Fiscal Reporting System (CFRS) — State Medicaid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MITA-compliant modernization; AI document intelligence at 96% OCR accuracy; 60% labor reduction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$2.1M</w:t>
            </w:r>
          </w:p>
        </w:tc>
      </w:tr>
      <w:tr>
        <w:tc>
          <w:tcPr>
            <w:tcW w:type="dxa" w:w="3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Claims Processing Modernization — National Health Insurer</w:t>
            </w:r>
          </w:p>
        </w:tc>
        <w:tc>
          <w:tcPr>
            <w:tcW w:type="dxa" w:w="49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AWS Batch/Lambda/EMR pipeline processing millions of daily claims</w:t>
            </w:r>
          </w:p>
        </w:tc>
        <w:tc>
          <w:tcPr>
            <w:tcW w:type="dxa" w:w="29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Enterprise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Urgent Care Data Integration — Regional Health Network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HL7 ETL, microservices architecture, PHI-secure AWS environment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Multi-phase</w:t>
            </w:r>
          </w:p>
        </w:tc>
      </w:tr>
    </w:tbl>
    <w:p>
      <w:pPr>
        <w:pBdr>
          <w:bottom w:val="single" w:color="2EA891" w:sz="8" w:space="2"/>
        </w:pBdr>
        <w:spacing w:after="60" w:before="140"/>
      </w:pPr>
      <w:r>
        <w:rPr>
          <w:rFonts w:ascii="Arial" w:cs="Arial" w:eastAsia="Arial" w:hAnsi="Arial"/>
          <w:b/>
          <w:bCs/>
          <w:color w:val="232D5A"/>
          <w:sz w:val="20"/>
          <w:szCs w:val="20"/>
        </w:rPr>
        <w:t xml:space="preserve">WHY VISIONBLOX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00"/>
        <w:gridCol w:w="3300"/>
      </w:tblGrid>
      <w:tr>
        <w:tc>
          <w:tcPr>
            <w:tcW w:type="dxa" w:w="33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Capability</w:t>
            </w:r>
          </w:p>
        </w:tc>
        <w:tc>
          <w:tcPr>
            <w:tcW w:type="dxa" w:w="42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Proof Point</w:t>
            </w:r>
          </w:p>
        </w:tc>
        <w:tc>
          <w:tcPr>
            <w:tcW w:type="dxa" w:w="3300"/>
            <w:shd w:fill="232D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Government Benefit</w:t>
            </w:r>
          </w:p>
        </w:tc>
      </w:tr>
      <w:tr>
        <w:tc>
          <w:tcPr>
            <w:tcW w:type="dxa" w:w="33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Healthcare-native systems integrator</w:t>
            </w:r>
          </w:p>
        </w:tc>
        <w:tc>
          <w:tcPr>
            <w:tcW w:type="dxa" w:w="42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Epic, HL7/FHIR, MITA delivery at state Medicaid scale</w:t>
            </w:r>
          </w:p>
        </w:tc>
        <w:tc>
          <w:tcPr>
            <w:tcW w:type="dxa" w:w="33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Mission-ready for federal health IT modernization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Proven AI at production scale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96% OCR accuracy; 60% labor reduction in live state operations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Measurable efficiency gains, not pilots</w:t>
            </w:r>
          </w:p>
        </w:tc>
      </w:tr>
      <w:tr>
        <w:tc>
          <w:tcPr>
            <w:tcW w:type="dxa" w:w="33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Small-business agility</w:t>
            </w:r>
          </w:p>
        </w:tc>
        <w:tc>
          <w:tcPr>
            <w:tcW w:type="dxa" w:w="42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Minority-Owned SB; direct principal engagement on every delivery</w:t>
            </w:r>
          </w:p>
        </w:tc>
        <w:tc>
          <w:tcPr>
            <w:tcW w:type="dxa" w:w="33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5"/>
                <w:szCs w:val="15"/>
              </w:rPr>
              <w:t xml:space="preserve">Set-aside eligible; accountable leadership</w:t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NAICS: 541511 • 541512 • 541519 • 518210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7B801"/>
                <w:sz w:val="15"/>
                <w:szCs w:val="15"/>
              </w:rPr>
              <w:t xml:space="preserve">Minority-Owned Small Business • TAA Compliant • Section 889 Compliant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D5A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Khaalis Wooden, MBA — Director of Enterprise Capture &amp; Compliance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khaalis.wooden@visionblox.com • (256) 988-1130 • visionblox.org</w:t>
            </w:r>
          </w:p>
        </w:tc>
      </w:tr>
    </w:tbl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8ca476bf971acdca8e6e4580760c15c043b6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2026-08-13T23:05:09.865Z</dcterms:created>
  <dcterms:modified xsi:type="dcterms:W3CDTF">2026-08-13T23:05:09.881Z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