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start w:val="none" w:color="FFFFFF" w:sz="0"/>
          <w:bottom w:val="none" w:color="FFFFFF" w:sz="0"/>
          <w:end w:val="none" w:color="FFFFFF" w:sz="0"/>
          <w:insideH w:val="none" w:color="FFFFFF" w:sz="0"/>
          <w:insideV w:val="none" w:color="FFFFFF" w:sz="0"/>
        </w:tblBorders>
      </w:tblPr>
      <w:tblGrid>
        <w:gridCol w:w="6300"/>
        <w:gridCol w:w="3780"/>
      </w:tblGrid>
      <w:tr>
        <w:tc>
          <w:tcPr>
            <w:tcW w:type="dxa" w:w="6300"/>
            <w:tcBorders>
              <w:top w:val="single" w:color="232D5A" w:sz="4"/>
              <w:start w:val="single" w:color="232D5A" w:sz="4"/>
              <w:bottom w:val="single" w:color="232D5A" w:sz="4"/>
              <w:end w:val="single" w:color="232D5A" w:sz="4"/>
            </w:tcBorders>
            <w:shd w:fill="232D5A" w:color="auto" w:val="clear"/>
            <w:tcMar>
              <w:top w:type="dxa" w:w="140"/>
              <w:start w:type="dxa" w:w="180"/>
              <w:bottom w:type="dxa" w:w="140"/>
              <w:end w:type="dxa" w:w="120"/>
            </w:tcMar>
          </w:tcPr>
          <w:p>
            <w:pPr>
              <w:spacing w:after="0"/>
            </w:pPr>
            <w:r>
              <w:rPr>
                <w:rFonts w:ascii="Arial" w:cs="Arial" w:eastAsia="Arial" w:hAnsi="Arial"/>
                <w:b/>
                <w:bCs/>
                <w:color w:val="FFFFFF"/>
                <w:sz w:val="36"/>
                <w:szCs w:val="36"/>
              </w:rPr>
              <w:t xml:space="preserve">VISIONBLOX</w:t>
            </w:r>
          </w:p>
          <w:p>
            <w:pPr>
              <w:spacing w:after="0"/>
            </w:pPr>
            <w:r>
              <w:rPr>
                <w:rFonts w:ascii="Arial" w:cs="Arial" w:eastAsia="Arial" w:hAnsi="Arial"/>
                <w:color w:val="C7CBE0"/>
                <w:sz w:val="16"/>
                <w:szCs w:val="16"/>
              </w:rPr>
              <w:t xml:space="preserve">AI-Powered Federal &amp; SLED Solutions</w:t>
            </w:r>
          </w:p>
        </w:tc>
        <w:tc>
          <w:tcPr>
            <w:tcW w:type="dxa" w:w="3780"/>
            <w:tcBorders>
              <w:top w:val="single" w:color="232D5A" w:sz="4"/>
              <w:start w:val="single" w:color="232D5A" w:sz="4"/>
              <w:bottom w:val="single" w:color="232D5A" w:sz="4"/>
              <w:end w:val="single" w:color="232D5A" w:sz="4"/>
            </w:tcBorders>
            <w:shd w:fill="232D5A" w:color="auto" w:val="clear"/>
            <w:tcMar>
              <w:top w:type="dxa" w:w="140"/>
              <w:start w:type="dxa" w:w="120"/>
              <w:bottom w:type="dxa" w:w="140"/>
              <w:end w:type="dxa" w:w="180"/>
            </w:tcMar>
            <w:vAlign w:val="center"/>
          </w:tcPr>
          <w:p>
            <w:pPr>
              <w:spacing w:after="0"/>
              <w:jc w:val="right"/>
            </w:pPr>
            <w:r>
              <w:rPr>
                <w:rFonts w:ascii="Arial" w:cs="Arial" w:eastAsia="Arial" w:hAnsi="Arial"/>
                <w:b/>
                <w:bCs/>
                <w:color w:val="F7B801"/>
                <w:sz w:val="14"/>
                <w:szCs w:val="14"/>
              </w:rPr>
              <w:t xml:space="preserve">BID / NO-BID DECISION RECORD</w:t>
            </w:r>
          </w:p>
          <w:p>
            <w:pPr>
              <w:spacing w:after="0"/>
              <w:jc w:val="right"/>
            </w:pPr>
            <w:r>
              <w:rPr>
                <w:rFonts w:ascii="Arial" w:cs="Arial" w:eastAsia="Arial" w:hAnsi="Arial"/>
                <w:color w:val="FFFFFF"/>
                <w:sz w:val="16"/>
                <w:szCs w:val="16"/>
              </w:rPr>
              <w:t xml:space="preserve">CAGE 9Z4X2</w:t>
            </w:r>
          </w:p>
          <w:p>
            <w:pPr>
              <w:spacing w:after="0"/>
              <w:jc w:val="right"/>
            </w:pPr>
            <w:r>
              <w:rPr>
                <w:rFonts w:ascii="Arial" w:cs="Arial" w:eastAsia="Arial" w:hAnsi="Arial"/>
                <w:color w:val="FFFFFF"/>
                <w:sz w:val="16"/>
                <w:szCs w:val="16"/>
              </w:rPr>
              <w:t xml:space="preserve">UEI H4X2Z7R9E3E3</w:t>
            </w:r>
          </w:p>
        </w:tc>
      </w:tr>
    </w:tbl>
    <w:p>
      <w:pPr>
        <w:spacing w:after="20" w:before="200"/>
      </w:pPr>
      <w:r>
        <w:rPr>
          <w:rFonts w:ascii="Arial" w:cs="Arial" w:eastAsia="Arial" w:hAnsi="Arial"/>
          <w:b/>
          <w:bCs/>
          <w:color w:val="232D5A"/>
          <w:sz w:val="30"/>
          <w:szCs w:val="30"/>
        </w:rPr>
        <w:t xml:space="preserve">Artificial Intelligence and Total Cloud Solutions</w:t>
      </w:r>
    </w:p>
    <w:p>
      <w:pPr>
        <w:spacing w:after="20"/>
      </w:pPr>
      <w:r>
        <w:rPr>
          <w:rFonts w:ascii="Arial" w:cs="Arial" w:eastAsia="Arial" w:hAnsi="Arial"/>
          <w:b/>
          <w:bCs/>
          <w:color w:val="2EA891"/>
          <w:sz w:val="20"/>
          <w:szCs w:val="20"/>
        </w:rPr>
        <w:t xml:space="preserve">Region 4 ESC · RFP 26-14 · SLED National Cooperative</w:t>
      </w:r>
    </w:p>
    <w:p>
      <w:pPr>
        <w:spacing w:after="20"/>
      </w:pPr>
      <w:r>
        <w:rPr>
          <w:rFonts w:ascii="Arial" w:cs="Arial" w:eastAsia="Arial" w:hAnsi="Arial"/>
          <w:color w:val="2E2E2E"/>
          <w:sz w:val="16"/>
          <w:szCs w:val="16"/>
        </w:rPr>
        <w:t xml:space="preserve">Decision date: 2026-08-19   |   Capture lead: Khaalis Wooden, Director of Enterprise Capture &amp; Compliance   |   Scoring authority: VBX Win-Probability Engine (SLED rubric)</w:t>
      </w:r>
    </w:p>
    <w:tbl>
      <w:tblPr>
        <w:tblW w:type="dxa" w:w="10080"/>
        <w:tblBorders>
          <w:top w:val="single" w:color="F7B801" w:sz="4"/>
          <w:start w:val="single" w:color="F7B801" w:sz="4"/>
          <w:bottom w:val="single" w:color="F7B801" w:sz="4"/>
          <w:end w:val="single" w:color="F7B801" w:sz="4"/>
          <w:insideH w:val="none" w:color="FFFFFF" w:sz="0"/>
          <w:insideV w:val="none" w:color="FFFFFF" w:sz="0"/>
        </w:tblBorders>
      </w:tblPr>
      <w:tblGrid>
        <w:gridCol w:w="10080"/>
      </w:tblGrid>
      <w:tr>
        <w:tc>
          <w:tcPr>
            <w:tcW w:type="dxa" w:w="10080"/>
            <w:tcBorders>
              <w:top w:val="single" w:color="F7B801" w:sz="4"/>
              <w:start w:val="single" w:color="F7B801" w:sz="4"/>
              <w:bottom w:val="single" w:color="F7B801" w:sz="4"/>
              <w:end w:val="single" w:color="F7B801" w:sz="4"/>
            </w:tcBorders>
            <w:shd w:fill="FFF9E6" w:color="auto" w:val="clear"/>
            <w:tcMar>
              <w:top w:type="dxa" w:w="80"/>
              <w:start w:type="dxa" w:w="140"/>
              <w:bottom w:type="dxa" w:w="80"/>
              <w:end w:type="dxa" w:w="140"/>
            </w:tcMar>
          </w:tcPr>
          <w:p>
            <w:pPr>
              <w:spacing w:after="0"/>
            </w:pPr>
            <w:r>
              <w:rPr>
                <w:rFonts w:ascii="Arial" w:cs="Arial" w:eastAsia="Arial" w:hAnsi="Arial"/>
                <w:b/>
                <w:bCs/>
                <w:color w:val="232D5A"/>
                <w:sz w:val="16"/>
                <w:szCs w:val="16"/>
              </w:rPr>
              <w:t xml:space="preserve">SOURCE PROVENANCE. </w:t>
            </w:r>
            <w:r>
              <w:rPr>
                <w:rFonts w:ascii="Arial" w:cs="Arial" w:eastAsia="Arial" w:hAnsi="Arial"/>
                <w:color w:val="2E2E2E"/>
                <w:sz w:val="16"/>
                <w:szCs w:val="16"/>
              </w:rPr>
              <w:t xml:space="preserve">Opportunity snapshot facts (number, title, issuer, due date, portal, cooperative vehicle, predecessor awards) were independently corroborated via public sources on 2026-08-19. Document-mechanics factors (evaluation tabs &amp; point allocation, reference requirements, financial-statement/D&amp;B thresholds, services-only eligibility, manufacturer/partner LOA requirements, guaranteed-sales treatment, OMNIA Administration exhibits) are operator-confirmed and were NOT independently retrieved — the RFP 26-14 document set sits behind Region 4 ESC vendor registration on region4esc.ionwave.net, a human-gated action. This record is authoritative on the operator-confirmed basis; if a retrieved document contradicts a factor herein, follow the document and flag the delta.</w:t>
            </w:r>
          </w:p>
        </w:tc>
      </w:tr>
    </w:tbl>
    <w:p>
      <w:pPr>
        <w:pBdr>
          <w:bottom w:val="single" w:color="2EA891" w:sz="14"/>
        </w:pBdr>
        <w:spacing w:after="120" w:before="260"/>
      </w:pPr>
      <w:r>
        <w:rPr>
          <w:rFonts w:ascii="Arial" w:cs="Arial" w:eastAsia="Arial" w:hAnsi="Arial"/>
          <w:b/>
          <w:bCs/>
          <w:color w:val="232D5A"/>
          <w:sz w:val="24"/>
          <w:szCs w:val="24"/>
        </w:rPr>
        <w:t xml:space="preserve">1 · Opportunity snapshot</w:t>
      </w:r>
    </w:p>
    <w:tbl>
      <w:tblPr>
        <w:tblW w:type="dxa" w:w="10080"/>
        <w:tblBorders>
          <w:top w:val="single" w:color="F0F0F0" w:sz="4"/>
          <w:start w:val="single" w:color="F0F0F0" w:sz="4"/>
          <w:bottom w:val="single" w:color="F0F0F0" w:sz="4"/>
          <w:end w:val="single" w:color="F0F0F0" w:sz="4"/>
          <w:insideH w:val="single" w:color="F0F0F0" w:sz="4"/>
          <w:insideV w:val="single" w:color="F0F0F0" w:sz="4"/>
        </w:tblBorders>
      </w:tblPr>
      <w:tblGrid>
        <w:gridCol w:w="2600"/>
        <w:gridCol w:w="7480"/>
      </w:tblGrid>
      <w:tr>
        <w:tc>
          <w:tcPr>
            <w:tcW w:type="dxa" w:w="260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8"/>
                <w:szCs w:val="18"/>
              </w:rPr>
              <w:t xml:space="preserve">Opportunity</w:t>
            </w:r>
          </w:p>
        </w:tc>
        <w:tc>
          <w:tcPr>
            <w:tcW w:type="dxa" w:w="748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8"/>
                <w:szCs w:val="18"/>
              </w:rPr>
              <w:t xml:space="preserve">Artificial Intelligence and Total Cloud Solutions</w:t>
            </w:r>
          </w:p>
        </w:tc>
      </w:tr>
      <w:tr>
        <w:tc>
          <w:tcPr>
            <w:tcW w:type="dxa" w:w="260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8"/>
                <w:szCs w:val="18"/>
              </w:rPr>
              <w:t xml:space="preserve">Solicitation</w:t>
            </w:r>
          </w:p>
        </w:tc>
        <w:tc>
          <w:tcPr>
            <w:tcW w:type="dxa" w:w="748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8"/>
                <w:szCs w:val="18"/>
              </w:rPr>
              <w:t xml:space="preserve">RFP 26-14</w:t>
            </w:r>
          </w:p>
        </w:tc>
      </w:tr>
      <w:tr>
        <w:tc>
          <w:tcPr>
            <w:tcW w:type="dxa" w:w="260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8"/>
                <w:szCs w:val="18"/>
              </w:rPr>
              <w:t xml:space="preserve">Issuer</w:t>
            </w:r>
          </w:p>
        </w:tc>
        <w:tc>
          <w:tcPr>
            <w:tcW w:type="dxa" w:w="748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8"/>
                <w:szCs w:val="18"/>
              </w:rPr>
              <w:t xml:space="preserve">Region 4 Education Service Center (ESC), 7145 W. Tidwell Rd, Houston, TX 77092</w:t>
            </w:r>
          </w:p>
        </w:tc>
      </w:tr>
      <w:tr>
        <w:tc>
          <w:tcPr>
            <w:tcW w:type="dxa" w:w="260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8"/>
                <w:szCs w:val="18"/>
              </w:rPr>
              <w:t xml:space="preserve">Sector / vehicle</w:t>
            </w:r>
          </w:p>
        </w:tc>
        <w:tc>
          <w:tcPr>
            <w:tcW w:type="dxa" w:w="748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8"/>
                <w:szCs w:val="18"/>
              </w:rPr>
              <w:t xml:space="preserve">SLED (national cooperative). Region 4 ESC master agreement; lead agency for OMNIA Partners — nationwide cooperative purchasing.</w:t>
            </w:r>
          </w:p>
        </w:tc>
      </w:tr>
      <w:tr>
        <w:tc>
          <w:tcPr>
            <w:tcW w:type="dxa" w:w="260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8"/>
                <w:szCs w:val="18"/>
              </w:rPr>
              <w:t xml:space="preserve">Set-aside</w:t>
            </w:r>
          </w:p>
        </w:tc>
        <w:tc>
          <w:tcPr>
            <w:tcW w:type="dxa" w:w="748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8"/>
                <w:szCs w:val="18"/>
              </w:rPr>
              <w:t xml:space="preserve">Full and open</w:t>
            </w:r>
          </w:p>
        </w:tc>
      </w:tr>
      <w:tr>
        <w:tc>
          <w:tcPr>
            <w:tcW w:type="dxa" w:w="260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8"/>
                <w:szCs w:val="18"/>
              </w:rPr>
              <w:t xml:space="preserve">Term</w:t>
            </w:r>
          </w:p>
        </w:tc>
        <w:tc>
          <w:tcPr>
            <w:tcW w:type="dxa" w:w="748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8"/>
                <w:szCs w:val="18"/>
              </w:rPr>
              <w:t xml:space="preserve">3 base + 2 option years (Region 4 template)</w:t>
            </w:r>
          </w:p>
        </w:tc>
      </w:tr>
      <w:tr>
        <w:tc>
          <w:tcPr>
            <w:tcW w:type="dxa" w:w="260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8"/>
                <w:szCs w:val="18"/>
              </w:rPr>
              <w:t xml:space="preserve">Advertised / due</w:t>
            </w:r>
          </w:p>
        </w:tc>
        <w:tc>
          <w:tcPr>
            <w:tcW w:type="dxa" w:w="748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8"/>
                <w:szCs w:val="18"/>
              </w:rPr>
              <w:t xml:space="preserve">Advertised 2026-07-22 · Proposals due 2026-09-08, 2:00 PM CST</w:t>
            </w:r>
          </w:p>
        </w:tc>
      </w:tr>
      <w:tr>
        <w:tc>
          <w:tcPr>
            <w:tcW w:type="dxa" w:w="260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8"/>
                <w:szCs w:val="18"/>
              </w:rPr>
              <w:t xml:space="preserve">Portal</w:t>
            </w:r>
          </w:p>
        </w:tc>
        <w:tc>
          <w:tcPr>
            <w:tcW w:type="dxa" w:w="748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8"/>
                <w:szCs w:val="18"/>
              </w:rPr>
              <w:t xml:space="preserve">region4esc.ionwave.net (vendor registration required) · esc4.net</w:t>
            </w:r>
          </w:p>
        </w:tc>
      </w:tr>
      <w:tr>
        <w:tc>
          <w:tcPr>
            <w:tcW w:type="dxa" w:w="260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8"/>
                <w:szCs w:val="18"/>
              </w:rPr>
              <w:t xml:space="preserve">Administrative fee</w:t>
            </w:r>
          </w:p>
        </w:tc>
        <w:tc>
          <w:tcPr>
            <w:tcW w:type="dxa" w:w="748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8"/>
                <w:szCs w:val="18"/>
              </w:rPr>
              <w:t xml:space="preserve">3% of the GREATER of actual or guaranteed contract sales (per Region 4 24-03 Q&amp;A). Guarantees create fee liability independent of revenue.</w:t>
            </w:r>
          </w:p>
        </w:tc>
      </w:tr>
      <w:tr>
        <w:tc>
          <w:tcPr>
            <w:tcW w:type="dxa" w:w="260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8"/>
                <w:szCs w:val="18"/>
              </w:rPr>
              <w:t xml:space="preserve">Incumbents</w:t>
            </w:r>
          </w:p>
        </w:tc>
        <w:tc>
          <w:tcPr>
            <w:tcW w:type="dxa" w:w="748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8"/>
                <w:szCs w:val="18"/>
              </w:rPr>
              <w:t xml:space="preserve">Predecessor RFP 22-08 (Total Cloud Solutions) — 9 proposals, 4 awards: CDW-G (R220801), Ingram Micro (R220802), Mythics Emergent (R220803), SHI Government Solutions (R220804). Recompete + AI scope expansion. Firms listed under R220802 are Ingram resellers, not awardees.</w:t>
            </w:r>
          </w:p>
        </w:tc>
      </w:tr>
      <w:tr>
        <w:tc>
          <w:tcPr>
            <w:tcW w:type="dxa" w:w="260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8"/>
                <w:szCs w:val="18"/>
              </w:rPr>
              <w:t xml:space="preserve">Shaping</w:t>
            </w:r>
          </w:p>
        </w:tc>
        <w:tc>
          <w:tcPr>
            <w:tcW w:type="dxa" w:w="748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8"/>
                <w:szCs w:val="18"/>
              </w:rPr>
              <w:t xml:space="preserve">None (cold). Communications blackout; all contact via questions@esc4.net.</w:t>
            </w:r>
          </w:p>
        </w:tc>
      </w:tr>
      <w:tr>
        <w:tc>
          <w:tcPr>
            <w:tcW w:type="dxa" w:w="260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8"/>
                <w:szCs w:val="18"/>
              </w:rPr>
              <w:t xml:space="preserve">Status</w:t>
            </w:r>
          </w:p>
        </w:tc>
        <w:tc>
          <w:tcPr>
            <w:tcW w:type="dxa" w:w="748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8"/>
                <w:szCs w:val="18"/>
              </w:rPr>
              <w:t xml:space="preserve">OPEN — verified 2026-08-19 against esc4.net current solicitations and corroborated via public OMNIA contract records.</w:t>
            </w:r>
          </w:p>
        </w:tc>
      </w:tr>
    </w:tbl>
    <w:p>
      <w:pPr>
        <w:pBdr>
          <w:bottom w:val="single" w:color="2EA891" w:sz="14"/>
        </w:pBdr>
        <w:spacing w:after="120" w:before="260"/>
      </w:pPr>
      <w:r>
        <w:rPr>
          <w:rFonts w:ascii="Arial" w:cs="Arial" w:eastAsia="Arial" w:hAnsi="Arial"/>
          <w:b/>
          <w:bCs/>
          <w:color w:val="232D5A"/>
          <w:sz w:val="24"/>
          <w:szCs w:val="24"/>
        </w:rPr>
        <w:t xml:space="preserve">2 · Gate 1 result — kill-trigger check</w:t>
      </w:r>
    </w:p>
    <w:p>
      <w:pPr>
        <w:spacing w:after="120"/>
      </w:pPr>
      <w:r>
        <w:rPr>
          <w:rFonts w:ascii="Arial" w:cs="Arial" w:eastAsia="Arial" w:hAnsi="Arial"/>
          <w:b/>
          <w:bCs/>
          <w:color w:val="B91C1C"/>
          <w:sz w:val="20"/>
          <w:szCs w:val="20"/>
        </w:rPr>
        <w:t xml:space="preserve">GATE 1: FAIL. </w:t>
      </w:r>
      <w:r>
        <w:rPr>
          <w:rFonts w:ascii="Arial" w:cs="Arial" w:eastAsia="Arial" w:hAnsi="Arial"/>
          <w:color w:val="2E2E2E"/>
          <w:sz w:val="18"/>
          <w:szCs w:val="18"/>
        </w:rPr>
        <w:t xml:space="preserve">Two independent kill triggers fire. Scoring is reported below for the record, but either fire alone is dispositive for a prime bid.</w:t>
      </w:r>
    </w:p>
    <w:tbl>
      <w:tblPr>
        <w:tblW w:type="dxa" w:w="10080"/>
        <w:tblBorders>
          <w:top w:val="single" w:color="B91C1C" w:sz="4"/>
          <w:start w:val="single" w:color="B91C1C" w:sz="24"/>
          <w:bottom w:val="single" w:color="B91C1C" w:sz="4"/>
          <w:end w:val="single" w:color="B91C1C" w:sz="4"/>
          <w:insideH w:val="none" w:color="FFFFFF" w:sz="0"/>
          <w:insideV w:val="none" w:color="FFFFFF" w:sz="0"/>
        </w:tblBorders>
      </w:tblPr>
      <w:tblGrid>
        <w:gridCol w:w="10080"/>
      </w:tblGrid>
      <w:tr>
        <w:tc>
          <w:tcPr>
            <w:tcW w:type="dxa" w:w="10080"/>
            <w:tcBorders>
              <w:top w:val="single" w:color="B91C1C" w:sz="4"/>
              <w:start w:val="single" w:color="B91C1C" w:sz="24"/>
              <w:bottom w:val="single" w:color="B91C1C" w:sz="4"/>
              <w:end w:val="single" w:color="B91C1C" w:sz="4"/>
            </w:tcBorders>
            <w:shd w:fill="FCE8E6" w:color="auto" w:val="clear"/>
            <w:tcMar>
              <w:top w:type="dxa" w:w="70"/>
              <w:start w:type="dxa" w:w="160"/>
              <w:bottom w:type="dxa" w:w="70"/>
              <w:end w:type="dxa" w:w="140"/>
            </w:tcMar>
          </w:tcPr>
          <w:p>
            <w:pPr>
              <w:spacing w:after="0"/>
            </w:pPr>
            <w:r>
              <w:rPr>
                <w:rFonts w:ascii="Arial" w:cs="Arial" w:eastAsia="Arial" w:hAnsi="Arial"/>
                <w:b/>
                <w:bCs/>
                <w:color w:val="B91C1C"/>
                <w:sz w:val="18"/>
                <w:szCs w:val="18"/>
              </w:rPr>
              <w:t xml:space="preserve">▶ FIRE — Vendor-type mismatch  </w:t>
            </w:r>
            <w:r>
              <w:rPr>
                <w:rFonts w:ascii="Arial" w:cs="Arial" w:eastAsia="Arial" w:hAnsi="Arial"/>
                <w:color w:val="2E2E2E"/>
                <w:sz w:val="18"/>
                <w:szCs w:val="18"/>
              </w:rPr>
              <w:t xml:space="preserve">RFP 26-14 is a catalog / price-list vehicle. VBX has no product catalog, no manufacturer letters of authorization (LOAs), no distribution margin, and no national sales force. The predecessor 22-08 rubric placed 40 points on Tab 2 (Products/Pricing) — the exact axis on which VBX is structurally unequipped to compete.</w:t>
            </w:r>
          </w:p>
        </w:tc>
      </w:tr>
    </w:tbl>
    <w:p>
      <w:pPr>
        <w:spacing w:after="60"/>
      </w:pPr>
      <w:r>
        <w:rPr>
          <w:rFonts w:ascii="Arial" w:cs="Arial" w:eastAsia="Arial" w:hAnsi="Arial"/>
          <w:b w:val="false"/>
          <w:bCs w:val="false"/>
          <w:i w:val="false"/>
          <w:iCs w:val="false"/>
          <w:color w:val="2E2E2E"/>
          <w:sz w:val="6"/>
          <w:szCs w:val="6"/>
        </w:rPr>
        <w:t xml:space="preserve"/>
      </w:r>
    </w:p>
    <w:tbl>
      <w:tblPr>
        <w:tblW w:type="dxa" w:w="10080"/>
        <w:tblBorders>
          <w:top w:val="single" w:color="B91C1C" w:sz="4"/>
          <w:start w:val="single" w:color="B91C1C" w:sz="24"/>
          <w:bottom w:val="single" w:color="B91C1C" w:sz="4"/>
          <w:end w:val="single" w:color="B91C1C" w:sz="4"/>
          <w:insideH w:val="none" w:color="FFFFFF" w:sz="0"/>
          <w:insideV w:val="none" w:color="FFFFFF" w:sz="0"/>
        </w:tblBorders>
      </w:tblPr>
      <w:tblGrid>
        <w:gridCol w:w="10080"/>
      </w:tblGrid>
      <w:tr>
        <w:tc>
          <w:tcPr>
            <w:tcW w:type="dxa" w:w="10080"/>
            <w:tcBorders>
              <w:top w:val="single" w:color="B91C1C" w:sz="4"/>
              <w:start w:val="single" w:color="B91C1C" w:sz="24"/>
              <w:bottom w:val="single" w:color="B91C1C" w:sz="4"/>
              <w:end w:val="single" w:color="B91C1C" w:sz="4"/>
            </w:tcBorders>
            <w:shd w:fill="FCE8E6" w:color="auto" w:val="clear"/>
            <w:tcMar>
              <w:top w:type="dxa" w:w="70"/>
              <w:start w:type="dxa" w:w="160"/>
              <w:bottom w:type="dxa" w:w="70"/>
              <w:end w:type="dxa" w:w="140"/>
            </w:tcMar>
          </w:tcPr>
          <w:p>
            <w:pPr>
              <w:spacing w:after="0"/>
            </w:pPr>
            <w:r>
              <w:rPr>
                <w:rFonts w:ascii="Arial" w:cs="Arial" w:eastAsia="Arial" w:hAnsi="Arial"/>
                <w:b/>
                <w:bCs/>
                <w:color w:val="B91C1C"/>
                <w:sz w:val="18"/>
                <w:szCs w:val="18"/>
              </w:rPr>
              <w:t xml:space="preserve">▶ FIRE — Compliance disqualifier  </w:t>
            </w:r>
            <w:r>
              <w:rPr>
                <w:rFonts w:ascii="Arial" w:cs="Arial" w:eastAsia="Arial" w:hAnsi="Arial"/>
                <w:color w:val="2E2E2E"/>
                <w:sz w:val="18"/>
                <w:szCs w:val="18"/>
              </w:rPr>
              <w:t xml:space="preserve">SOC 2 Type 2 is absent and not remediable by the 2026-09-08 deadline. No FedRAMP or StateRAMP authorization is held. The K-12 student-privacy posture (NY Education Law 2-d, CA SOPIPA) is unestablished. None of these can be closed before submission.</w:t>
            </w:r>
          </w:p>
        </w:tc>
      </w:tr>
    </w:tbl>
    <w:p>
      <w:pPr>
        <w:spacing w:after="120" w:before="120"/>
      </w:pPr>
      <w:r>
        <w:rPr>
          <w:rFonts w:ascii="Arial" w:cs="Arial" w:eastAsia="Arial" w:hAnsi="Arial"/>
          <w:b/>
          <w:bCs/>
          <w:color w:val="B45309"/>
          <w:sz w:val="18"/>
          <w:szCs w:val="18"/>
        </w:rPr>
        <w:t xml:space="preserve">At-risk (secondary): </w:t>
      </w:r>
      <w:r>
        <w:rPr>
          <w:rFonts w:ascii="Arial" w:cs="Arial" w:eastAsia="Arial" w:hAnsi="Arial"/>
          <w:color w:val="2E2E2E"/>
          <w:sz w:val="18"/>
          <w:szCs w:val="18"/>
        </w:rPr>
        <w:t xml:space="preserve">past-performance floor (no K-12 or cooperative-sales references) and geographic/capacity (no national delivery footprint). These do not need to fire — the two triggers above already dispose of a prime bid.</w:t>
      </w:r>
    </w:p>
    <w:p>
      <w:pPr>
        <w:pBdr>
          <w:bottom w:val="single" w:color="2EA891" w:sz="14"/>
        </w:pBdr>
        <w:spacing w:after="120" w:before="260"/>
      </w:pPr>
      <w:r>
        <w:rPr>
          <w:rFonts w:ascii="Arial" w:cs="Arial" w:eastAsia="Arial" w:hAnsi="Arial"/>
          <w:b/>
          <w:bCs/>
          <w:color w:val="232D5A"/>
          <w:sz w:val="24"/>
          <w:szCs w:val="24"/>
        </w:rPr>
        <w:t xml:space="preserve">3 · SLED rubric scoring</w:t>
      </w:r>
    </w:p>
    <w:tbl>
      <w:tblPr>
        <w:tblW w:type="dxa" w:w="10080"/>
        <w:tblBorders>
          <w:top w:val="single" w:color="F0F0F0" w:sz="4"/>
          <w:start w:val="single" w:color="F0F0F0" w:sz="4"/>
          <w:bottom w:val="single" w:color="F0F0F0" w:sz="4"/>
          <w:end w:val="single" w:color="F0F0F0" w:sz="4"/>
          <w:insideH w:val="single" w:color="F0F0F0" w:sz="4"/>
          <w:insideV w:val="single" w:color="F0F0F0" w:sz="4"/>
        </w:tblBorders>
      </w:tblPr>
      <w:tblGrid>
        <w:gridCol w:w="560"/>
        <w:gridCol w:w="2560"/>
        <w:gridCol w:w="620"/>
        <w:gridCol w:w="760"/>
        <w:gridCol w:w="760"/>
        <w:gridCol w:w="4820"/>
      </w:tblGrid>
      <w:tr>
        <w:trPr>
          <w:tblHeader/>
        </w:trPr>
        <w:tc>
          <w:tcPr>
            <w:tcW w:type="dxa" w:w="560"/>
            <w:tcBorders>
              <w:top w:val="single" w:color="232D5A" w:sz="4"/>
              <w:start w:val="single" w:color="232D5A" w:sz="4"/>
              <w:bottom w:val="single" w:color="232D5A" w:sz="4"/>
              <w:end w:val="single" w:color="232D5A" w:sz="4"/>
            </w:tcBorders>
            <w:shd w:fill="232D5A" w:color="auto" w:val="clear"/>
            <w:tcMar>
              <w:top w:type="dxa" w:w="60"/>
              <w:start w:type="dxa" w:w="100"/>
              <w:bottom w:type="dxa" w:w="60"/>
              <w:end w:type="dxa" w:w="100"/>
            </w:tcMar>
            <w:vAlign w:val="center"/>
          </w:tcPr>
          <w:p>
            <w:pPr>
              <w:spacing w:after="0" w:before="0"/>
              <w:jc w:val="left"/>
            </w:pPr>
            <w:r>
              <w:rPr>
                <w:rFonts w:ascii="Arial" w:cs="Arial" w:eastAsia="Arial" w:hAnsi="Arial"/>
                <w:b/>
                <w:bCs/>
                <w:i w:val="false"/>
                <w:iCs w:val="false"/>
                <w:color w:val="FFFFFF"/>
                <w:sz w:val="18"/>
                <w:szCs w:val="18"/>
              </w:rPr>
              <w:t xml:space="preserve">#</w:t>
            </w:r>
          </w:p>
        </w:tc>
        <w:tc>
          <w:tcPr>
            <w:tcW w:type="dxa" w:w="2560"/>
            <w:tcBorders>
              <w:top w:val="single" w:color="232D5A" w:sz="4"/>
              <w:start w:val="single" w:color="232D5A" w:sz="4"/>
              <w:bottom w:val="single" w:color="232D5A" w:sz="4"/>
              <w:end w:val="single" w:color="232D5A" w:sz="4"/>
            </w:tcBorders>
            <w:shd w:fill="232D5A" w:color="auto" w:val="clear"/>
            <w:tcMar>
              <w:top w:type="dxa" w:w="60"/>
              <w:start w:type="dxa" w:w="100"/>
              <w:bottom w:type="dxa" w:w="60"/>
              <w:end w:type="dxa" w:w="100"/>
            </w:tcMar>
            <w:vAlign w:val="center"/>
          </w:tcPr>
          <w:p>
            <w:pPr>
              <w:spacing w:after="0" w:before="0"/>
              <w:jc w:val="left"/>
            </w:pPr>
            <w:r>
              <w:rPr>
                <w:rFonts w:ascii="Arial" w:cs="Arial" w:eastAsia="Arial" w:hAnsi="Arial"/>
                <w:b/>
                <w:bCs/>
                <w:i w:val="false"/>
                <w:iCs w:val="false"/>
                <w:color w:val="FFFFFF"/>
                <w:sz w:val="18"/>
                <w:szCs w:val="18"/>
              </w:rPr>
              <w:t xml:space="preserve">Factor</w:t>
            </w:r>
          </w:p>
        </w:tc>
        <w:tc>
          <w:tcPr>
            <w:tcW w:type="dxa" w:w="620"/>
            <w:tcBorders>
              <w:top w:val="single" w:color="232D5A" w:sz="4"/>
              <w:start w:val="single" w:color="232D5A" w:sz="4"/>
              <w:bottom w:val="single" w:color="232D5A" w:sz="4"/>
              <w:end w:val="single" w:color="232D5A" w:sz="4"/>
            </w:tcBorders>
            <w:shd w:fill="232D5A" w:color="auto" w:val="clear"/>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FFFFFF"/>
                <w:sz w:val="18"/>
                <w:szCs w:val="18"/>
              </w:rPr>
              <w:t xml:space="preserve">Wt</w:t>
            </w:r>
          </w:p>
        </w:tc>
        <w:tc>
          <w:tcPr>
            <w:tcW w:type="dxa" w:w="760"/>
            <w:tcBorders>
              <w:top w:val="single" w:color="232D5A" w:sz="4"/>
              <w:start w:val="single" w:color="232D5A" w:sz="4"/>
              <w:bottom w:val="single" w:color="232D5A" w:sz="4"/>
              <w:end w:val="single" w:color="232D5A" w:sz="4"/>
            </w:tcBorders>
            <w:shd w:fill="232D5A" w:color="auto" w:val="clear"/>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FFFFFF"/>
                <w:sz w:val="18"/>
                <w:szCs w:val="18"/>
              </w:rPr>
              <w:t xml:space="preserve">Score</w:t>
            </w:r>
          </w:p>
        </w:tc>
        <w:tc>
          <w:tcPr>
            <w:tcW w:type="dxa" w:w="760"/>
            <w:tcBorders>
              <w:top w:val="single" w:color="232D5A" w:sz="4"/>
              <w:start w:val="single" w:color="232D5A" w:sz="4"/>
              <w:bottom w:val="single" w:color="232D5A" w:sz="4"/>
              <w:end w:val="single" w:color="232D5A" w:sz="4"/>
            </w:tcBorders>
            <w:shd w:fill="232D5A" w:color="auto" w:val="clear"/>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FFFFFF"/>
                <w:sz w:val="18"/>
                <w:szCs w:val="18"/>
              </w:rPr>
              <w:t xml:space="preserve">Wtd</w:t>
            </w:r>
          </w:p>
        </w:tc>
        <w:tc>
          <w:tcPr>
            <w:tcW w:type="dxa" w:w="4820"/>
            <w:tcBorders>
              <w:top w:val="single" w:color="232D5A" w:sz="4"/>
              <w:start w:val="single" w:color="232D5A" w:sz="4"/>
              <w:bottom w:val="single" w:color="232D5A" w:sz="4"/>
              <w:end w:val="single" w:color="232D5A" w:sz="4"/>
            </w:tcBorders>
            <w:shd w:fill="232D5A" w:color="auto" w:val="clear"/>
            <w:tcMar>
              <w:top w:type="dxa" w:w="60"/>
              <w:start w:type="dxa" w:w="100"/>
              <w:bottom w:type="dxa" w:w="60"/>
              <w:end w:type="dxa" w:w="100"/>
            </w:tcMar>
            <w:vAlign w:val="center"/>
          </w:tcPr>
          <w:p>
            <w:pPr>
              <w:spacing w:after="0" w:before="0"/>
              <w:jc w:val="left"/>
            </w:pPr>
            <w:r>
              <w:rPr>
                <w:rFonts w:ascii="Arial" w:cs="Arial" w:eastAsia="Arial" w:hAnsi="Arial"/>
                <w:b/>
                <w:bCs/>
                <w:i w:val="false"/>
                <w:iCs w:val="false"/>
                <w:color w:val="FFFFFF"/>
                <w:sz w:val="18"/>
                <w:szCs w:val="18"/>
              </w:rPr>
              <w:t xml:space="preserve">Rationale (verifiable fact)</w:t>
            </w:r>
          </w:p>
        </w:tc>
      </w:tr>
      <w:tr>
        <w:tc>
          <w:tcPr>
            <w:tcW w:type="dxa" w:w="5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7"/>
                <w:szCs w:val="17"/>
              </w:rPr>
              <w:t xml:space="preserve">S1</w:t>
            </w:r>
          </w:p>
        </w:tc>
        <w:tc>
          <w:tcPr>
            <w:tcW w:type="dxa" w:w="25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7"/>
                <w:szCs w:val="17"/>
              </w:rPr>
              <w:t xml:space="preserve">Capability / scope fit</w:t>
            </w:r>
          </w:p>
        </w:tc>
        <w:tc>
          <w:tcPr>
            <w:tcW w:type="dxa" w:w="62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jc w:val="center"/>
            </w:pPr>
            <w:r>
              <w:rPr>
                <w:rFonts w:ascii="Arial" w:cs="Arial" w:eastAsia="Arial" w:hAnsi="Arial"/>
                <w:b w:val="false"/>
                <w:bCs w:val="false"/>
                <w:i w:val="false"/>
                <w:iCs w:val="false"/>
                <w:color w:val="2E2E2E"/>
                <w:sz w:val="17"/>
                <w:szCs w:val="17"/>
              </w:rPr>
              <w:t xml:space="preserve">1.5</w:t>
            </w:r>
          </w:p>
        </w:tc>
        <w:tc>
          <w:tcPr>
            <w:tcW w:type="dxa" w:w="760"/>
            <w:tcBorders>
              <w:top w:val="single" w:color="F0F0F0" w:sz="4"/>
              <w:start w:val="single" w:color="F0F0F0" w:sz="4"/>
              <w:bottom w:val="single" w:color="F0F0F0" w:sz="4"/>
              <w:end w:val="single" w:color="F0F0F0" w:sz="4"/>
            </w:tcBorders>
            <w:shd w:fill="E6F4EA" w:color="auto" w:val="clear"/>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15803D"/>
                <w:sz w:val="17"/>
                <w:szCs w:val="17"/>
              </w:rPr>
              <w:t xml:space="preserve">0.75</w:t>
            </w:r>
          </w:p>
        </w:tc>
        <w:tc>
          <w:tcPr>
            <w:tcW w:type="dxa" w:w="7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2E2E2E"/>
                <w:sz w:val="17"/>
                <w:szCs w:val="17"/>
              </w:rPr>
              <w:t xml:space="preserve">1.13</w:t>
            </w:r>
          </w:p>
        </w:tc>
        <w:tc>
          <w:tcPr>
            <w:tcW w:type="dxa" w:w="482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VBX's core AI/ML and cloud-modernization competencies map directly to the stated scope, but 26-14 is a product-catalog vehicle (predecessor 22-08 weighted Products/Pricing at 40 points) that VBX's services-only profile only partially fills.</w:t>
            </w:r>
          </w:p>
        </w:tc>
      </w:tr>
      <w:tr>
        <w:tc>
          <w:tcPr>
            <w:tcW w:type="dxa" w:w="5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7"/>
                <w:szCs w:val="17"/>
              </w:rPr>
              <w:t xml:space="preserve">S2</w:t>
            </w:r>
          </w:p>
        </w:tc>
        <w:tc>
          <w:tcPr>
            <w:tcW w:type="dxa" w:w="25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7"/>
                <w:szCs w:val="17"/>
              </w:rPr>
              <w:t xml:space="preserve">State registration + cooperative access</w:t>
            </w:r>
          </w:p>
        </w:tc>
        <w:tc>
          <w:tcPr>
            <w:tcW w:type="dxa" w:w="62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jc w:val="center"/>
            </w:pPr>
            <w:r>
              <w:rPr>
                <w:rFonts w:ascii="Arial" w:cs="Arial" w:eastAsia="Arial" w:hAnsi="Arial"/>
                <w:b w:val="false"/>
                <w:bCs w:val="false"/>
                <w:i w:val="false"/>
                <w:iCs w:val="false"/>
                <w:color w:val="2E2E2E"/>
                <w:sz w:val="17"/>
                <w:szCs w:val="17"/>
              </w:rPr>
              <w:t xml:space="preserve">1.5</w:t>
            </w:r>
          </w:p>
        </w:tc>
        <w:tc>
          <w:tcPr>
            <w:tcW w:type="dxa" w:w="760"/>
            <w:tcBorders>
              <w:top w:val="single" w:color="F0F0F0" w:sz="4"/>
              <w:start w:val="single" w:color="F0F0F0" w:sz="4"/>
              <w:bottom w:val="single" w:color="F0F0F0" w:sz="4"/>
              <w:end w:val="single" w:color="F0F0F0" w:sz="4"/>
            </w:tcBorders>
            <w:shd w:fill="E6F4EA" w:color="auto" w:val="clear"/>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15803D"/>
                <w:sz w:val="17"/>
                <w:szCs w:val="17"/>
              </w:rPr>
              <w:t xml:space="preserve">0.75</w:t>
            </w:r>
          </w:p>
        </w:tc>
        <w:tc>
          <w:tcPr>
            <w:tcW w:type="dxa" w:w="7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2E2E2E"/>
                <w:sz w:val="17"/>
                <w:szCs w:val="17"/>
              </w:rPr>
              <w:t xml:space="preserve">1.13</w:t>
            </w:r>
          </w:p>
        </w:tc>
        <w:tc>
          <w:tcPr>
            <w:tcW w:type="dxa" w:w="482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VBX already holds a nationwide cooperative AI vehicle (Montana SPB26-0608GW-VSNBLX, executed 2026-08-14, both tracks, renewable to 10 years), so cooperative access is materially present; the discount reflects no Region 4/OMNIA admission and no Region 4 vendor registration.</w:t>
            </w:r>
          </w:p>
        </w:tc>
      </w:tr>
      <w:tr>
        <w:tc>
          <w:tcPr>
            <w:tcW w:type="dxa" w:w="5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7"/>
                <w:szCs w:val="17"/>
              </w:rPr>
              <w:t xml:space="preserve">S3</w:t>
            </w:r>
          </w:p>
        </w:tc>
        <w:tc>
          <w:tcPr>
            <w:tcW w:type="dxa" w:w="25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7"/>
                <w:szCs w:val="17"/>
              </w:rPr>
              <w:t xml:space="preserve">Set-aside / MWBE / DBE alignment</w:t>
            </w:r>
          </w:p>
        </w:tc>
        <w:tc>
          <w:tcPr>
            <w:tcW w:type="dxa" w:w="62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jc w:val="center"/>
            </w:pPr>
            <w:r>
              <w:rPr>
                <w:rFonts w:ascii="Arial" w:cs="Arial" w:eastAsia="Arial" w:hAnsi="Arial"/>
                <w:b w:val="false"/>
                <w:bCs w:val="false"/>
                <w:i w:val="false"/>
                <w:iCs w:val="false"/>
                <w:color w:val="2E2E2E"/>
                <w:sz w:val="17"/>
                <w:szCs w:val="17"/>
              </w:rPr>
              <w:t xml:space="preserve">1.0</w:t>
            </w:r>
          </w:p>
        </w:tc>
        <w:tc>
          <w:tcPr>
            <w:tcW w:type="dxa" w:w="760"/>
            <w:tcBorders>
              <w:top w:val="single" w:color="F0F0F0" w:sz="4"/>
              <w:start w:val="single" w:color="F0F0F0" w:sz="4"/>
              <w:bottom w:val="single" w:color="F0F0F0" w:sz="4"/>
              <w:end w:val="single" w:color="F0F0F0" w:sz="4"/>
            </w:tcBorders>
            <w:shd w:fill="E6F4EA" w:color="auto" w:val="clear"/>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15803D"/>
                <w:sz w:val="17"/>
                <w:szCs w:val="17"/>
              </w:rPr>
              <w:t xml:space="preserve">1.00</w:t>
            </w:r>
          </w:p>
        </w:tc>
        <w:tc>
          <w:tcPr>
            <w:tcW w:type="dxa" w:w="7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2E2E2E"/>
                <w:sz w:val="17"/>
                <w:szCs w:val="17"/>
              </w:rPr>
              <w:t xml:space="preserve">1.00</w:t>
            </w:r>
          </w:p>
        </w:tc>
        <w:tc>
          <w:tcPr>
            <w:tcW w:type="dxa" w:w="482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Scored N/A → 1.0 because RFP 26-14 is full-and-open with no MWBE/DBE set-aside or evaluation preference (see Calibration Note a).</w:t>
            </w:r>
          </w:p>
        </w:tc>
      </w:tr>
      <w:tr>
        <w:tc>
          <w:tcPr>
            <w:tcW w:type="dxa" w:w="5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7"/>
                <w:szCs w:val="17"/>
              </w:rPr>
              <w:t xml:space="preserve">S4</w:t>
            </w:r>
          </w:p>
        </w:tc>
        <w:tc>
          <w:tcPr>
            <w:tcW w:type="dxa" w:w="25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7"/>
                <w:szCs w:val="17"/>
              </w:rPr>
              <w:t xml:space="preserve">Past performance match</w:t>
            </w:r>
          </w:p>
        </w:tc>
        <w:tc>
          <w:tcPr>
            <w:tcW w:type="dxa" w:w="62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jc w:val="center"/>
            </w:pPr>
            <w:r>
              <w:rPr>
                <w:rFonts w:ascii="Arial" w:cs="Arial" w:eastAsia="Arial" w:hAnsi="Arial"/>
                <w:b w:val="false"/>
                <w:bCs w:val="false"/>
                <w:i w:val="false"/>
                <w:iCs w:val="false"/>
                <w:color w:val="2E2E2E"/>
                <w:sz w:val="17"/>
                <w:szCs w:val="17"/>
              </w:rPr>
              <w:t xml:space="preserve">1.5</w:t>
            </w:r>
          </w:p>
        </w:tc>
        <w:tc>
          <w:tcPr>
            <w:tcW w:type="dxa" w:w="760"/>
            <w:tcBorders>
              <w:top w:val="single" w:color="F0F0F0" w:sz="4"/>
              <w:start w:val="single" w:color="F0F0F0" w:sz="4"/>
              <w:bottom w:val="single" w:color="F0F0F0" w:sz="4"/>
              <w:end w:val="single" w:color="F0F0F0" w:sz="4"/>
            </w:tcBorders>
            <w:shd w:fill="FFF4D6" w:color="auto" w:val="clear"/>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B45309"/>
                <w:sz w:val="17"/>
                <w:szCs w:val="17"/>
              </w:rPr>
              <w:t xml:space="preserve">0.50</w:t>
            </w:r>
          </w:p>
        </w:tc>
        <w:tc>
          <w:tcPr>
            <w:tcW w:type="dxa" w:w="7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2E2E2E"/>
                <w:sz w:val="17"/>
                <w:szCs w:val="17"/>
              </w:rPr>
              <w:t xml:space="preserve">0.75</w:t>
            </w:r>
          </w:p>
        </w:tc>
        <w:tc>
          <w:tcPr>
            <w:tcW w:type="dxa" w:w="482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VBX holds adjacent healthcare-IT and AI past performance but no K-12 or cooperative-sales reference of the type Region 4/OMNIA buyers weight — adjacent, not direct.</w:t>
            </w:r>
          </w:p>
        </w:tc>
      </w:tr>
      <w:tr>
        <w:tc>
          <w:tcPr>
            <w:tcW w:type="dxa" w:w="5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7"/>
                <w:szCs w:val="17"/>
              </w:rPr>
              <w:t xml:space="preserve">S5</w:t>
            </w:r>
          </w:p>
        </w:tc>
        <w:tc>
          <w:tcPr>
            <w:tcW w:type="dxa" w:w="25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7"/>
                <w:szCs w:val="17"/>
              </w:rPr>
              <w:t xml:space="preserve">In-state presence / partner geography</w:t>
            </w:r>
          </w:p>
        </w:tc>
        <w:tc>
          <w:tcPr>
            <w:tcW w:type="dxa" w:w="62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jc w:val="center"/>
            </w:pPr>
            <w:r>
              <w:rPr>
                <w:rFonts w:ascii="Arial" w:cs="Arial" w:eastAsia="Arial" w:hAnsi="Arial"/>
                <w:b w:val="false"/>
                <w:bCs w:val="false"/>
                <w:i w:val="false"/>
                <w:iCs w:val="false"/>
                <w:color w:val="2E2E2E"/>
                <w:sz w:val="17"/>
                <w:szCs w:val="17"/>
              </w:rPr>
              <w:t xml:space="preserve">1.0</w:t>
            </w:r>
          </w:p>
        </w:tc>
        <w:tc>
          <w:tcPr>
            <w:tcW w:type="dxa" w:w="760"/>
            <w:tcBorders>
              <w:top w:val="single" w:color="F0F0F0" w:sz="4"/>
              <w:start w:val="single" w:color="F0F0F0" w:sz="4"/>
              <w:bottom w:val="single" w:color="F0F0F0" w:sz="4"/>
              <w:end w:val="single" w:color="F0F0F0" w:sz="4"/>
            </w:tcBorders>
            <w:shd w:fill="FCE8E6" w:color="auto" w:val="clear"/>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B91C1C"/>
                <w:sz w:val="17"/>
                <w:szCs w:val="17"/>
              </w:rPr>
              <w:t xml:space="preserve">0.25</w:t>
            </w:r>
          </w:p>
        </w:tc>
        <w:tc>
          <w:tcPr>
            <w:tcW w:type="dxa" w:w="7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2E2E2E"/>
                <w:sz w:val="17"/>
                <w:szCs w:val="17"/>
              </w:rPr>
              <w:t xml:space="preserve">0.25</w:t>
            </w:r>
          </w:p>
        </w:tc>
        <w:tc>
          <w:tcPr>
            <w:tcW w:type="dxa" w:w="482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National cooperative delivery is required; VBX has no national sales/delivery footprint and no named in-state (TX) partner.</w:t>
            </w:r>
          </w:p>
        </w:tc>
      </w:tr>
      <w:tr>
        <w:tc>
          <w:tcPr>
            <w:tcW w:type="dxa" w:w="5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7"/>
                <w:szCs w:val="17"/>
              </w:rPr>
              <w:t xml:space="preserve">S6</w:t>
            </w:r>
          </w:p>
        </w:tc>
        <w:tc>
          <w:tcPr>
            <w:tcW w:type="dxa" w:w="25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7"/>
                <w:szCs w:val="17"/>
              </w:rPr>
              <w:t xml:space="preserve">Customer relationship / pre-RFP shaping</w:t>
            </w:r>
          </w:p>
        </w:tc>
        <w:tc>
          <w:tcPr>
            <w:tcW w:type="dxa" w:w="62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jc w:val="center"/>
            </w:pPr>
            <w:r>
              <w:rPr>
                <w:rFonts w:ascii="Arial" w:cs="Arial" w:eastAsia="Arial" w:hAnsi="Arial"/>
                <w:b w:val="false"/>
                <w:bCs w:val="false"/>
                <w:i w:val="false"/>
                <w:iCs w:val="false"/>
                <w:color w:val="2E2E2E"/>
                <w:sz w:val="17"/>
                <w:szCs w:val="17"/>
              </w:rPr>
              <w:t xml:space="preserve">1.0</w:t>
            </w:r>
          </w:p>
        </w:tc>
        <w:tc>
          <w:tcPr>
            <w:tcW w:type="dxa" w:w="760"/>
            <w:tcBorders>
              <w:top w:val="single" w:color="F0F0F0" w:sz="4"/>
              <w:start w:val="single" w:color="F0F0F0" w:sz="4"/>
              <w:bottom w:val="single" w:color="F0F0F0" w:sz="4"/>
              <w:end w:val="single" w:color="F0F0F0" w:sz="4"/>
            </w:tcBorders>
            <w:shd w:fill="FCE8E6" w:color="auto" w:val="clear"/>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B91C1C"/>
                <w:sz w:val="17"/>
                <w:szCs w:val="17"/>
              </w:rPr>
              <w:t xml:space="preserve">0.00</w:t>
            </w:r>
          </w:p>
        </w:tc>
        <w:tc>
          <w:tcPr>
            <w:tcW w:type="dxa" w:w="7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2E2E2E"/>
                <w:sz w:val="17"/>
                <w:szCs w:val="17"/>
              </w:rPr>
              <w:t xml:space="preserve">0.00</w:t>
            </w:r>
          </w:p>
        </w:tc>
        <w:tc>
          <w:tcPr>
            <w:tcW w:type="dxa" w:w="482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Cold pursuit — communications blackout, all contact via questions@esc4.net, zero pre-RFP shaping.</w:t>
            </w:r>
          </w:p>
        </w:tc>
      </w:tr>
      <w:tr>
        <w:tc>
          <w:tcPr>
            <w:tcW w:type="dxa" w:w="5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7"/>
                <w:szCs w:val="17"/>
              </w:rPr>
              <w:t xml:space="preserve">S7</w:t>
            </w:r>
          </w:p>
        </w:tc>
        <w:tc>
          <w:tcPr>
            <w:tcW w:type="dxa" w:w="25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7"/>
                <w:szCs w:val="17"/>
              </w:rPr>
              <w:t xml:space="preserve">Competitive density</w:t>
            </w:r>
          </w:p>
        </w:tc>
        <w:tc>
          <w:tcPr>
            <w:tcW w:type="dxa" w:w="62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jc w:val="center"/>
            </w:pPr>
            <w:r>
              <w:rPr>
                <w:rFonts w:ascii="Arial" w:cs="Arial" w:eastAsia="Arial" w:hAnsi="Arial"/>
                <w:b w:val="false"/>
                <w:bCs w:val="false"/>
                <w:i w:val="false"/>
                <w:iCs w:val="false"/>
                <w:color w:val="2E2E2E"/>
                <w:sz w:val="17"/>
                <w:szCs w:val="17"/>
              </w:rPr>
              <w:t xml:space="preserve">1.0</w:t>
            </w:r>
          </w:p>
        </w:tc>
        <w:tc>
          <w:tcPr>
            <w:tcW w:type="dxa" w:w="760"/>
            <w:tcBorders>
              <w:top w:val="single" w:color="F0F0F0" w:sz="4"/>
              <w:start w:val="single" w:color="F0F0F0" w:sz="4"/>
              <w:bottom w:val="single" w:color="F0F0F0" w:sz="4"/>
              <w:end w:val="single" w:color="F0F0F0" w:sz="4"/>
            </w:tcBorders>
            <w:shd w:fill="FCE8E6" w:color="auto" w:val="clear"/>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B91C1C"/>
                <w:sz w:val="17"/>
                <w:szCs w:val="17"/>
              </w:rPr>
              <w:t xml:space="preserve">0.10</w:t>
            </w:r>
          </w:p>
        </w:tc>
        <w:tc>
          <w:tcPr>
            <w:tcW w:type="dxa" w:w="7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2E2E2E"/>
                <w:sz w:val="17"/>
                <w:szCs w:val="17"/>
              </w:rPr>
              <w:t xml:space="preserve">0.10</w:t>
            </w:r>
          </w:p>
        </w:tc>
        <w:tc>
          <w:tcPr>
            <w:tcW w:type="dxa" w:w="482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Four entrenched incumbents (CDW-G, Ingram Micro, Mythics Emergent, SHI Government Solutions) plus a recompete-with-AI-expansion that draws national primes — a crowded, prime-dominated field.</w:t>
            </w:r>
          </w:p>
        </w:tc>
      </w:tr>
      <w:tr>
        <w:tc>
          <w:tcPr>
            <w:tcW w:type="dxa" w:w="5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7"/>
                <w:szCs w:val="17"/>
              </w:rPr>
              <w:t xml:space="preserve">S8</w:t>
            </w:r>
          </w:p>
        </w:tc>
        <w:tc>
          <w:tcPr>
            <w:tcW w:type="dxa" w:w="25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7"/>
                <w:szCs w:val="17"/>
              </w:rPr>
              <w:t xml:space="preserve">Pricing posture</w:t>
            </w:r>
          </w:p>
        </w:tc>
        <w:tc>
          <w:tcPr>
            <w:tcW w:type="dxa" w:w="62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jc w:val="center"/>
            </w:pPr>
            <w:r>
              <w:rPr>
                <w:rFonts w:ascii="Arial" w:cs="Arial" w:eastAsia="Arial" w:hAnsi="Arial"/>
                <w:b w:val="false"/>
                <w:bCs w:val="false"/>
                <w:i w:val="false"/>
                <w:iCs w:val="false"/>
                <w:color w:val="2E2E2E"/>
                <w:sz w:val="17"/>
                <w:szCs w:val="17"/>
              </w:rPr>
              <w:t xml:space="preserve">1.0</w:t>
            </w:r>
          </w:p>
        </w:tc>
        <w:tc>
          <w:tcPr>
            <w:tcW w:type="dxa" w:w="760"/>
            <w:tcBorders>
              <w:top w:val="single" w:color="F0F0F0" w:sz="4"/>
              <w:start w:val="single" w:color="F0F0F0" w:sz="4"/>
              <w:bottom w:val="single" w:color="F0F0F0" w:sz="4"/>
              <w:end w:val="single" w:color="F0F0F0" w:sz="4"/>
            </w:tcBorders>
            <w:shd w:fill="FCE8E6" w:color="auto" w:val="clear"/>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B91C1C"/>
                <w:sz w:val="17"/>
                <w:szCs w:val="17"/>
              </w:rPr>
              <w:t xml:space="preserve">0.10</w:t>
            </w:r>
          </w:p>
        </w:tc>
        <w:tc>
          <w:tcPr>
            <w:tcW w:type="dxa" w:w="7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2E2E2E"/>
                <w:sz w:val="17"/>
                <w:szCs w:val="17"/>
              </w:rPr>
              <w:t xml:space="preserve">0.10</w:t>
            </w:r>
          </w:p>
        </w:tc>
        <w:tc>
          <w:tcPr>
            <w:tcW w:type="dxa" w:w="482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Catalog/price-list evaluation rewards distribution margin and manufacturer discounts; VBX has no catalog, no distribution margin, and no national sales force to price against incumbents.</w:t>
            </w:r>
          </w:p>
        </w:tc>
      </w:tr>
      <w:tr>
        <w:tc>
          <w:tcPr>
            <w:tcW w:type="dxa" w:w="5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7"/>
                <w:szCs w:val="17"/>
              </w:rPr>
              <w:t xml:space="preserve">S9</w:t>
            </w:r>
          </w:p>
        </w:tc>
        <w:tc>
          <w:tcPr>
            <w:tcW w:type="dxa" w:w="25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7"/>
                <w:szCs w:val="17"/>
              </w:rPr>
              <w:t xml:space="preserve">Compliance (SOC 2 / HIPAA / state)</w:t>
            </w:r>
          </w:p>
        </w:tc>
        <w:tc>
          <w:tcPr>
            <w:tcW w:type="dxa" w:w="62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jc w:val="center"/>
            </w:pPr>
            <w:r>
              <w:rPr>
                <w:rFonts w:ascii="Arial" w:cs="Arial" w:eastAsia="Arial" w:hAnsi="Arial"/>
                <w:b w:val="false"/>
                <w:bCs w:val="false"/>
                <w:i w:val="false"/>
                <w:iCs w:val="false"/>
                <w:color w:val="2E2E2E"/>
                <w:sz w:val="17"/>
                <w:szCs w:val="17"/>
              </w:rPr>
              <w:t xml:space="preserve">0.5</w:t>
            </w:r>
          </w:p>
        </w:tc>
        <w:tc>
          <w:tcPr>
            <w:tcW w:type="dxa" w:w="760"/>
            <w:tcBorders>
              <w:top w:val="single" w:color="F0F0F0" w:sz="4"/>
              <w:start w:val="single" w:color="F0F0F0" w:sz="4"/>
              <w:bottom w:val="single" w:color="F0F0F0" w:sz="4"/>
              <w:end w:val="single" w:color="F0F0F0" w:sz="4"/>
            </w:tcBorders>
            <w:shd w:fill="FCE8E6" w:color="auto" w:val="clear"/>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B91C1C"/>
                <w:sz w:val="17"/>
                <w:szCs w:val="17"/>
              </w:rPr>
              <w:t xml:space="preserve">0.25</w:t>
            </w:r>
          </w:p>
        </w:tc>
        <w:tc>
          <w:tcPr>
            <w:tcW w:type="dxa" w:w="76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2E2E2E"/>
                <w:sz w:val="17"/>
                <w:szCs w:val="17"/>
              </w:rPr>
              <w:t xml:space="preserve">0.13</w:t>
            </w:r>
          </w:p>
        </w:tc>
        <w:tc>
          <w:tcPr>
            <w:tcW w:type="dxa" w:w="4820"/>
            <w:tcBorders>
              <w:top w:val="single" w:color="F0F0F0" w:sz="4"/>
              <w:start w:val="single" w:color="F0F0F0" w:sz="4"/>
              <w:bottom w:val="single" w:color="F0F0F0" w:sz="4"/>
              <w:end w:val="single" w:color="F0F0F0" w:sz="4"/>
            </w:tcBorders>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SOC 2 Type 2 is absent and not remediable by 2026-09-08, with no FedRAMP/StateRAMP and an unestablished K-12 student-privacy posture (NY Ed Law 2-d, CA SOPIPA) — a gap with no pre-submission remediation path.</w:t>
            </w:r>
          </w:p>
        </w:tc>
      </w:tr>
      <w:tr>
        <w:tc>
          <w:tcPr>
            <w:tcW w:type="dxa" w:w="560"/>
            <w:tcBorders>
              <w:top w:val="single" w:color="232D5A" w:sz="4"/>
              <w:start w:val="single" w:color="232D5A" w:sz="4"/>
              <w:bottom w:val="single" w:color="232D5A" w:sz="4"/>
              <w:end w:val="single" w:color="232D5A" w:sz="4"/>
            </w:tcBorders>
            <w:shd w:fill="232D5A"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20"/>
                <w:szCs w:val="20"/>
              </w:rPr>
              <w:t xml:space="preserve"/>
            </w:r>
          </w:p>
        </w:tc>
        <w:tc>
          <w:tcPr>
            <w:tcW w:type="dxa" w:w="2560"/>
            <w:tcBorders>
              <w:top w:val="single" w:color="232D5A" w:sz="4"/>
              <w:start w:val="single" w:color="232D5A" w:sz="4"/>
              <w:bottom w:val="single" w:color="232D5A" w:sz="4"/>
              <w:end w:val="single" w:color="232D5A" w:sz="4"/>
            </w:tcBorders>
            <w:shd w:fill="232D5A"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FFFFFF"/>
                <w:sz w:val="17"/>
                <w:szCs w:val="17"/>
              </w:rPr>
              <w:t xml:space="preserve">TOTAL (Σ score × weight)</w:t>
            </w:r>
          </w:p>
        </w:tc>
        <w:tc>
          <w:tcPr>
            <w:tcW w:type="dxa" w:w="620"/>
            <w:tcBorders>
              <w:top w:val="single" w:color="232D5A" w:sz="4"/>
              <w:start w:val="single" w:color="232D5A" w:sz="4"/>
              <w:bottom w:val="single" w:color="232D5A" w:sz="4"/>
              <w:end w:val="single" w:color="232D5A" w:sz="4"/>
            </w:tcBorders>
            <w:shd w:fill="232D5A"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20"/>
                <w:szCs w:val="20"/>
              </w:rPr>
              <w:t xml:space="preserve"/>
            </w:r>
          </w:p>
        </w:tc>
        <w:tc>
          <w:tcPr>
            <w:tcW w:type="dxa" w:w="760"/>
            <w:tcBorders>
              <w:top w:val="single" w:color="232D5A" w:sz="4"/>
              <w:start w:val="single" w:color="232D5A" w:sz="4"/>
              <w:bottom w:val="single" w:color="232D5A" w:sz="4"/>
              <w:end w:val="single" w:color="232D5A" w:sz="4"/>
            </w:tcBorders>
            <w:shd w:fill="232D5A"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20"/>
                <w:szCs w:val="20"/>
              </w:rPr>
              <w:t xml:space="preserve"/>
            </w:r>
          </w:p>
        </w:tc>
        <w:tc>
          <w:tcPr>
            <w:tcW w:type="dxa" w:w="760"/>
            <w:tcBorders>
              <w:top w:val="single" w:color="232D5A" w:sz="4"/>
              <w:start w:val="single" w:color="232D5A" w:sz="4"/>
              <w:bottom w:val="single" w:color="232D5A" w:sz="4"/>
              <w:end w:val="single" w:color="232D5A" w:sz="4"/>
            </w:tcBorders>
            <w:shd w:fill="232D5A" w:color="auto" w:val="clear"/>
            <w:tcMar>
              <w:top w:type="dxa" w:w="60"/>
              <w:start w:type="dxa" w:w="100"/>
              <w:bottom w:type="dxa" w:w="60"/>
              <w:end w:type="dxa" w:w="100"/>
            </w:tcMar>
            <w:vAlign w:val="center"/>
          </w:tcPr>
          <w:p>
            <w:pPr>
              <w:spacing w:after="0" w:before="0"/>
              <w:jc w:val="center"/>
            </w:pPr>
            <w:r>
              <w:rPr>
                <w:rFonts w:ascii="Arial" w:cs="Arial" w:eastAsia="Arial" w:hAnsi="Arial"/>
                <w:b/>
                <w:bCs/>
                <w:i w:val="false"/>
                <w:iCs w:val="false"/>
                <w:color w:val="F7B801"/>
                <w:sz w:val="18"/>
                <w:szCs w:val="18"/>
              </w:rPr>
              <w:t xml:space="preserve">4.58</w:t>
            </w:r>
          </w:p>
        </w:tc>
        <w:tc>
          <w:tcPr>
            <w:tcW w:type="dxa" w:w="4820"/>
            <w:tcBorders>
              <w:top w:val="single" w:color="232D5A" w:sz="4"/>
              <w:start w:val="single" w:color="232D5A" w:sz="4"/>
              <w:bottom w:val="single" w:color="232D5A" w:sz="4"/>
              <w:end w:val="single" w:color="232D5A" w:sz="4"/>
            </w:tcBorders>
            <w:shd w:fill="232D5A"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FFFFFF"/>
                <w:sz w:val="16"/>
                <w:szCs w:val="16"/>
              </w:rPr>
              <w:t xml:space="preserve">out of 10.0</w:t>
            </w:r>
          </w:p>
        </w:tc>
      </w:tr>
    </w:tbl>
    <w:p>
      <w:pPr>
        <w:spacing w:after="120"/>
      </w:pPr>
      <w:r>
        <w:rPr>
          <w:rFonts w:ascii="Arial" w:cs="Arial" w:eastAsia="Arial" w:hAnsi="Arial"/>
          <w:b w:val="false"/>
          <w:bCs w:val="false"/>
          <w:i w:val="false"/>
          <w:iCs w:val="false"/>
          <w:color w:val="2E2E2E"/>
          <w:sz w:val="8"/>
          <w:szCs w:val="8"/>
        </w:rPr>
        <w:t xml:space="preserve"/>
      </w:r>
    </w:p>
    <w:tbl>
      <w:tblPr>
        <w:tblW w:type="dxa" w:w="10080"/>
        <w:tblBorders>
          <w:top w:val="single" w:color="F0F0F0" w:sz="4"/>
          <w:start w:val="single" w:color="F0F0F0" w:sz="4"/>
          <w:bottom w:val="single" w:color="F0F0F0" w:sz="4"/>
          <w:end w:val="single" w:color="F0F0F0" w:sz="4"/>
          <w:insideH w:val="single" w:color="F0F0F0" w:sz="4"/>
          <w:insideV w:val="single" w:color="F0F0F0" w:sz="4"/>
        </w:tblBorders>
      </w:tblPr>
      <w:tblGrid>
        <w:gridCol w:w="3360"/>
        <w:gridCol w:w="3360"/>
        <w:gridCol w:w="3360"/>
      </w:tblGrid>
      <w:tr>
        <w:tc>
          <w:tcPr>
            <w:tcW w:type="dxa" w:w="3360"/>
            <w:tcBorders>
              <w:top w:val="single" w:color="F0F0F0" w:sz="4"/>
              <w:start w:val="single" w:color="F0F0F0" w:sz="4"/>
              <w:bottom w:val="single" w:color="F0F0F0" w:sz="4"/>
              <w:end w:val="single" w:color="F0F0F0" w:sz="4"/>
            </w:tcBorders>
            <w:shd w:fill="F7F8FB" w:color="auto" w:val="clear"/>
            <w:tcMar>
              <w:top w:type="dxa" w:w="100"/>
              <w:start w:type="dxa" w:w="140"/>
              <w:bottom w:type="dxa" w:w="100"/>
              <w:end w:type="dxa" w:w="140"/>
            </w:tcMar>
          </w:tcPr>
          <w:p>
            <w:pPr>
              <w:spacing w:after="20"/>
            </w:pPr>
            <w:r>
              <w:rPr>
                <w:rFonts w:ascii="Arial" w:cs="Arial" w:eastAsia="Arial" w:hAnsi="Arial"/>
                <w:b/>
                <w:bCs/>
                <w:color w:val="2E2E2E"/>
                <w:sz w:val="15"/>
                <w:szCs w:val="15"/>
              </w:rPr>
              <w:t xml:space="preserve">SCORE</w:t>
            </w:r>
          </w:p>
          <w:p>
            <w:pPr>
              <w:spacing w:after="0"/>
            </w:pPr>
            <w:r>
              <w:rPr>
                <w:rFonts w:ascii="Arial" w:cs="Arial" w:eastAsia="Arial" w:hAnsi="Arial"/>
                <w:b/>
                <w:bCs/>
                <w:color w:val="232D5A"/>
                <w:sz w:val="26"/>
                <w:szCs w:val="26"/>
              </w:rPr>
              <w:t xml:space="preserve">4.58 / 10</w:t>
            </w:r>
          </w:p>
        </w:tc>
        <w:tc>
          <w:tcPr>
            <w:tcW w:type="dxa" w:w="3360"/>
            <w:tcBorders>
              <w:top w:val="single" w:color="F0F0F0" w:sz="4"/>
              <w:start w:val="single" w:color="F0F0F0" w:sz="4"/>
              <w:bottom w:val="single" w:color="F0F0F0" w:sz="4"/>
              <w:end w:val="single" w:color="F0F0F0" w:sz="4"/>
            </w:tcBorders>
            <w:shd w:fill="F7F8FB" w:color="auto" w:val="clear"/>
            <w:tcMar>
              <w:top w:type="dxa" w:w="100"/>
              <w:start w:type="dxa" w:w="140"/>
              <w:bottom w:type="dxa" w:w="100"/>
              <w:end w:type="dxa" w:w="140"/>
            </w:tcMar>
          </w:tcPr>
          <w:p>
            <w:pPr>
              <w:spacing w:after="20"/>
            </w:pPr>
            <w:r>
              <w:rPr>
                <w:rFonts w:ascii="Arial" w:cs="Arial" w:eastAsia="Arial" w:hAnsi="Arial"/>
                <w:b/>
                <w:bCs/>
                <w:color w:val="2E2E2E"/>
                <w:sz w:val="15"/>
                <w:szCs w:val="15"/>
              </w:rPr>
              <w:t xml:space="preserve">BAND</w:t>
            </w:r>
          </w:p>
          <w:p>
            <w:pPr>
              <w:spacing w:after="0"/>
            </w:pPr>
            <w:r>
              <w:rPr>
                <w:rFonts w:ascii="Arial" w:cs="Arial" w:eastAsia="Arial" w:hAnsi="Arial"/>
                <w:b/>
                <w:bCs/>
                <w:color w:val="B45309"/>
                <w:sz w:val="26"/>
                <w:szCs w:val="26"/>
              </w:rPr>
              <w:t xml:space="preserve">Moderate</w:t>
            </w:r>
          </w:p>
        </w:tc>
        <w:tc>
          <w:tcPr>
            <w:tcW w:type="dxa" w:w="3360"/>
            <w:tcBorders>
              <w:top w:val="single" w:color="F0F0F0" w:sz="4"/>
              <w:start w:val="single" w:color="F0F0F0" w:sz="4"/>
              <w:bottom w:val="single" w:color="F0F0F0" w:sz="4"/>
              <w:end w:val="single" w:color="F0F0F0" w:sz="4"/>
            </w:tcBorders>
            <w:shd w:fill="F7F8FB" w:color="auto" w:val="clear"/>
            <w:tcMar>
              <w:top w:type="dxa" w:w="100"/>
              <w:start w:type="dxa" w:w="140"/>
              <w:bottom w:type="dxa" w:w="100"/>
              <w:end w:type="dxa" w:w="140"/>
            </w:tcMar>
          </w:tcPr>
          <w:p>
            <w:pPr>
              <w:spacing w:after="20"/>
            </w:pPr>
            <w:r>
              <w:rPr>
                <w:rFonts w:ascii="Arial" w:cs="Arial" w:eastAsia="Arial" w:hAnsi="Arial"/>
                <w:b/>
                <w:bCs/>
                <w:color w:val="2E2E2E"/>
                <w:sz w:val="15"/>
                <w:szCs w:val="15"/>
              </w:rPr>
              <w:t xml:space="preserve">Pwin (nominal)</w:t>
            </w:r>
          </w:p>
          <w:p>
            <w:pPr>
              <w:spacing w:after="0"/>
            </w:pPr>
            <w:r>
              <w:rPr>
                <w:rFonts w:ascii="Arial" w:cs="Arial" w:eastAsia="Arial" w:hAnsi="Arial"/>
                <w:b/>
                <w:bCs/>
                <w:color w:val="B45309"/>
                <w:sz w:val="26"/>
                <w:szCs w:val="26"/>
              </w:rPr>
              <w:t xml:space="preserve">25%</w:t>
            </w:r>
          </w:p>
        </w:tc>
      </w:tr>
    </w:tbl>
    <w:p>
      <w:pPr>
        <w:pBdr>
          <w:bottom w:val="single" w:color="2EA891" w:sz="14"/>
        </w:pBdr>
        <w:spacing w:after="120" w:before="260"/>
      </w:pPr>
      <w:r>
        <w:rPr>
          <w:rFonts w:ascii="Arial" w:cs="Arial" w:eastAsia="Arial" w:hAnsi="Arial"/>
          <w:b/>
          <w:bCs/>
          <w:color w:val="232D5A"/>
          <w:sz w:val="24"/>
          <w:szCs w:val="24"/>
        </w:rPr>
        <w:t xml:space="preserve">4 · Calibration notes</w:t>
      </w:r>
    </w:p>
    <w:tbl>
      <w:tblPr>
        <w:tblW w:type="dxa" w:w="10080"/>
        <w:tblBorders>
          <w:top w:val="single" w:color="2EA891" w:sz="4"/>
          <w:start w:val="single" w:color="2EA891" w:sz="24"/>
          <w:bottom w:val="single" w:color="2EA891" w:sz="4"/>
          <w:end w:val="single" w:color="2EA891" w:sz="4"/>
          <w:insideH w:val="none" w:color="FFFFFF" w:sz="0"/>
          <w:insideV w:val="none" w:color="FFFFFF" w:sz="0"/>
        </w:tblBorders>
      </w:tblPr>
      <w:tblGrid>
        <w:gridCol w:w="10080"/>
      </w:tblGrid>
      <w:tr>
        <w:tc>
          <w:tcPr>
            <w:tcW w:type="dxa" w:w="10080"/>
            <w:tcBorders>
              <w:top w:val="single" w:color="2EA891" w:sz="4"/>
              <w:start w:val="single" w:color="2EA891" w:sz="24"/>
              <w:bottom w:val="single" w:color="2EA891" w:sz="4"/>
              <w:end w:val="single" w:color="2EA891" w:sz="4"/>
            </w:tcBorders>
            <w:shd w:fill="EAF6F3" w:color="auto" w:val="clear"/>
            <w:tcMar>
              <w:top w:type="dxa" w:w="70"/>
              <w:start w:type="dxa" w:w="160"/>
              <w:bottom w:type="dxa" w:w="70"/>
              <w:end w:type="dxa" w:w="140"/>
            </w:tcMar>
          </w:tcPr>
          <w:p>
            <w:pPr>
              <w:spacing w:after="0"/>
            </w:pPr>
            <w:r>
              <w:rPr>
                <w:rFonts w:ascii="Arial" w:cs="Arial" w:eastAsia="Arial" w:hAnsi="Arial"/>
                <w:b/>
                <w:bCs/>
                <w:color w:val="2EA891"/>
                <w:sz w:val="17"/>
                <w:szCs w:val="17"/>
              </w:rPr>
              <w:t xml:space="preserve">NOTE (a)  </w:t>
            </w:r>
            <w:r>
              <w:rPr>
                <w:rFonts w:ascii="Arial" w:cs="Arial" w:eastAsia="Arial" w:hAnsi="Arial"/>
                <w:b/>
                <w:bCs/>
                <w:color w:val="232D5A"/>
                <w:sz w:val="17"/>
                <w:szCs w:val="17"/>
              </w:rPr>
              <w:t xml:space="preserve">Minority-owned status carries no weight here. </w:t>
            </w:r>
            <w:r>
              <w:rPr>
                <w:rFonts w:ascii="Arial" w:cs="Arial" w:eastAsia="Arial" w:hAnsi="Arial"/>
                <w:color w:val="2E2E2E"/>
                <w:sz w:val="17"/>
                <w:szCs w:val="17"/>
              </w:rPr>
              <w:t xml:space="preserve">S3 awards the full 1.0 for "N/A" even though VBX’s minority-owned status carries zero evaluation weight in a full-and-open national competition. Removing that unearned credit drops the economically-adjusted total to ~3.6 — inside the Low band, a more honest read of competitive standing than the nominal 4.58.</w:t>
            </w:r>
          </w:p>
        </w:tc>
      </w:tr>
    </w:tbl>
    <w:p>
      <w:pPr>
        <w:spacing w:after="80"/>
      </w:pPr>
      <w:r>
        <w:rPr>
          <w:rFonts w:ascii="Arial" w:cs="Arial" w:eastAsia="Arial" w:hAnsi="Arial"/>
          <w:b w:val="false"/>
          <w:bCs w:val="false"/>
          <w:i w:val="false"/>
          <w:iCs w:val="false"/>
          <w:color w:val="2E2E2E"/>
          <w:sz w:val="6"/>
          <w:szCs w:val="6"/>
        </w:rPr>
        <w:t xml:space="preserve"/>
      </w:r>
    </w:p>
    <w:tbl>
      <w:tblPr>
        <w:tblW w:type="dxa" w:w="10080"/>
        <w:tblBorders>
          <w:top w:val="single" w:color="2EA891" w:sz="4"/>
          <w:start w:val="single" w:color="2EA891" w:sz="24"/>
          <w:bottom w:val="single" w:color="2EA891" w:sz="4"/>
          <w:end w:val="single" w:color="2EA891" w:sz="4"/>
          <w:insideH w:val="none" w:color="FFFFFF" w:sz="0"/>
          <w:insideV w:val="none" w:color="FFFFFF" w:sz="0"/>
        </w:tblBorders>
      </w:tblPr>
      <w:tblGrid>
        <w:gridCol w:w="10080"/>
      </w:tblGrid>
      <w:tr>
        <w:tc>
          <w:tcPr>
            <w:tcW w:type="dxa" w:w="10080"/>
            <w:tcBorders>
              <w:top w:val="single" w:color="2EA891" w:sz="4"/>
              <w:start w:val="single" w:color="2EA891" w:sz="24"/>
              <w:bottom w:val="single" w:color="2EA891" w:sz="4"/>
              <w:end w:val="single" w:color="2EA891" w:sz="4"/>
            </w:tcBorders>
            <w:shd w:fill="EAF6F3" w:color="auto" w:val="clear"/>
            <w:tcMar>
              <w:top w:type="dxa" w:w="70"/>
              <w:start w:type="dxa" w:w="160"/>
              <w:bottom w:type="dxa" w:w="70"/>
              <w:end w:type="dxa" w:w="140"/>
            </w:tcMar>
          </w:tcPr>
          <w:p>
            <w:pPr>
              <w:spacing w:after="0"/>
            </w:pPr>
            <w:r>
              <w:rPr>
                <w:rFonts w:ascii="Arial" w:cs="Arial" w:eastAsia="Arial" w:hAnsi="Arial"/>
                <w:b/>
                <w:bCs/>
                <w:color w:val="2EA891"/>
                <w:sz w:val="17"/>
                <w:szCs w:val="17"/>
              </w:rPr>
              <w:t xml:space="preserve">NOTE (b)  </w:t>
            </w:r>
            <w:r>
              <w:rPr>
                <w:rFonts w:ascii="Arial" w:cs="Arial" w:eastAsia="Arial" w:hAnsi="Arial"/>
                <w:b/>
                <w:bCs/>
                <w:color w:val="232D5A"/>
                <w:sz w:val="17"/>
                <w:szCs w:val="17"/>
              </w:rPr>
              <w:t xml:space="preserve">Band-mapped 25% overstates the real probability. </w:t>
            </w:r>
            <w:r>
              <w:rPr>
                <w:rFonts w:ascii="Arial" w:cs="Arial" w:eastAsia="Arial" w:hAnsi="Arial"/>
                <w:color w:val="2E2E2E"/>
                <w:sz w:val="17"/>
                <w:szCs w:val="17"/>
              </w:rPr>
              <w:t xml:space="preserve">The 25% Pwin is not credible when S7 (competitive density) and S8 (pricing posture) both floor at 0.10. Against four entrenched catalog incumbents, with no VBX catalog or distribution margin, the true probability of a prime award is single digits — not 25%.</w:t>
            </w:r>
          </w:p>
        </w:tc>
      </w:tr>
    </w:tbl>
    <w:p>
      <w:pPr>
        <w:pBdr>
          <w:bottom w:val="single" w:color="2EA891" w:sz="14"/>
        </w:pBdr>
        <w:spacing w:after="120" w:before="260"/>
      </w:pPr>
      <w:r>
        <w:rPr>
          <w:rFonts w:ascii="Arial" w:cs="Arial" w:eastAsia="Arial" w:hAnsi="Arial"/>
          <w:b/>
          <w:bCs/>
          <w:color w:val="232D5A"/>
          <w:sz w:val="24"/>
          <w:szCs w:val="24"/>
        </w:rPr>
        <w:t xml:space="preserve">5 · Expected value — the decision driver</w:t>
      </w:r>
    </w:p>
    <w:p>
      <w:pPr>
        <w:spacing w:after="100"/>
      </w:pPr>
      <w:r>
        <w:rPr>
          <w:rFonts w:ascii="Arial" w:cs="Arial" w:eastAsia="Arial" w:hAnsi="Arial"/>
          <w:b/>
          <w:bCs/>
          <w:color w:val="232D5A"/>
          <w:sz w:val="18"/>
          <w:szCs w:val="18"/>
        </w:rPr>
        <w:t xml:space="preserve">Stated up front, not buried: </w:t>
      </w:r>
      <w:r>
        <w:rPr>
          <w:rFonts w:ascii="Arial" w:cs="Arial" w:eastAsia="Arial" w:hAnsi="Arial"/>
          <w:color w:val="2E2E2E"/>
          <w:sz w:val="18"/>
          <w:szCs w:val="18"/>
        </w:rPr>
        <w:t xml:space="preserve">the value of a 26-14 prime award to VBX is near zero because the vehicle access it confers is already held. VBX executed the Montana Master AI vehicle (SPB26-0608GW-VSNBLX) on 2026-08-14 — a nationwide cooperative AI vehicle, both tracks, renewable to 10 years. A 26-14 prime win yields no incremental vehicle access; its only marginal value is the Region 4 / OMNIA buyer channel, which is reachable via authorized-partner / reseller admission under a 26-14 awardee at zero bid cost.</w:t>
      </w:r>
    </w:p>
    <w:p>
      <w:pPr>
        <w:spacing w:after="60"/>
      </w:pPr>
      <w:r>
        <w:rPr>
          <w:rFonts w:ascii="Arial" w:cs="Arial" w:eastAsia="Arial" w:hAnsi="Arial"/>
          <w:b/>
          <w:bCs/>
          <w:color w:val="232D5A"/>
          <w:sz w:val="18"/>
          <w:szCs w:val="18"/>
        </w:rPr>
        <w:t xml:space="preserve">EV math (SLED engine: Gross EV = Pwin × Value × VBX_Share − B&amp;P):</w:t>
      </w:r>
    </w:p>
    <w:p>
      <w:pPr>
        <w:pStyle w:val="ListParagraph"/>
        <w:numPr>
          <w:ilvl w:val="0"/>
          <w:numId w:val="1"/>
        </w:numPr>
        <w:spacing w:after="60"/>
      </w:pPr>
      <w:r>
        <w:rPr>
          <w:rFonts w:ascii="Arial" w:cs="Arial" w:eastAsia="Arial" w:hAnsi="Arial"/>
          <w:b/>
          <w:bCs/>
          <w:i w:val="false"/>
          <w:iCs w:val="false"/>
          <w:color w:val="2E2E2E"/>
          <w:sz w:val="18"/>
          <w:szCs w:val="18"/>
        </w:rPr>
        <w:t xml:space="preserve">Pwin: </w:t>
      </w:r>
      <w:r>
        <w:rPr>
          <w:rFonts w:ascii="Arial" w:cs="Arial" w:eastAsia="Arial" w:hAnsi="Arial"/>
          <w:b w:val="false"/>
          <w:bCs w:val="false"/>
          <w:i w:val="false"/>
          <w:iCs w:val="false"/>
          <w:color w:val="2E2E2E"/>
          <w:sz w:val="18"/>
          <w:szCs w:val="18"/>
        </w:rPr>
        <w:t xml:space="preserve">25% nominal; single-digit once calibrated (Note b).</w:t>
      </w:r>
    </w:p>
    <w:p>
      <w:pPr>
        <w:pStyle w:val="ListParagraph"/>
        <w:numPr>
          <w:ilvl w:val="0"/>
          <w:numId w:val="1"/>
        </w:numPr>
        <w:spacing w:after="60"/>
      </w:pPr>
      <w:r>
        <w:rPr>
          <w:rFonts w:ascii="Arial" w:cs="Arial" w:eastAsia="Arial" w:hAnsi="Arial"/>
          <w:b/>
          <w:bCs/>
          <w:i w:val="false"/>
          <w:iCs w:val="false"/>
          <w:color w:val="2E2E2E"/>
          <w:sz w:val="18"/>
          <w:szCs w:val="18"/>
        </w:rPr>
        <w:t xml:space="preserve">Value / share: </w:t>
      </w:r>
      <w:r>
        <w:rPr>
          <w:rFonts w:ascii="Arial" w:cs="Arial" w:eastAsia="Arial" w:hAnsi="Arial"/>
          <w:b w:val="false"/>
          <w:bCs w:val="false"/>
          <w:i w:val="false"/>
          <w:iCs w:val="false"/>
          <w:color w:val="2E2E2E"/>
          <w:sz w:val="18"/>
          <w:szCs w:val="18"/>
        </w:rPr>
        <w:t xml:space="preserve">a cooperative master agreement carries no guaranteed award value; realized value depends on catalog / task-order sales VBX cannot fulfil without a catalog or distribution margin, so VBX_Share of realizable cooperative sales trends toward zero even conditional on award.</w:t>
      </w:r>
    </w:p>
    <w:p>
      <w:pPr>
        <w:pStyle w:val="ListParagraph"/>
        <w:numPr>
          <w:ilvl w:val="0"/>
          <w:numId w:val="1"/>
        </w:numPr>
        <w:spacing w:after="60"/>
      </w:pPr>
      <w:r>
        <w:rPr>
          <w:rFonts w:ascii="Arial" w:cs="Arial" w:eastAsia="Arial" w:hAnsi="Arial"/>
          <w:b/>
          <w:bCs/>
          <w:i w:val="false"/>
          <w:iCs w:val="false"/>
          <w:color w:val="2E2E2E"/>
          <w:sz w:val="18"/>
          <w:szCs w:val="18"/>
        </w:rPr>
        <w:t xml:space="preserve">Cost side (real and immediate): </w:t>
      </w:r>
      <w:r>
        <w:rPr>
          <w:rFonts w:ascii="Arial" w:cs="Arial" w:eastAsia="Arial" w:hAnsi="Arial"/>
          <w:b w:val="false"/>
          <w:bCs w:val="false"/>
          <w:i w:val="false"/>
          <w:iCs w:val="false"/>
          <w:color w:val="2E2E2E"/>
          <w:sz w:val="18"/>
          <w:szCs w:val="18"/>
        </w:rPr>
        <w:t xml:space="preserve">a full catalog/pricing proposal is a substantial B&amp;P draw during the CMS ICAT and SOC 2 windows, and the 3% administrative fee applies to the greater of actual OR guaranteed sales — any guarantee offered to stay price-competitive is a fixed fee liability independent of revenue.</w:t>
      </w:r>
    </w:p>
    <w:p>
      <w:pPr>
        <w:spacing w:after="120" w:before="60"/>
      </w:pPr>
      <w:r>
        <w:rPr>
          <w:rFonts w:ascii="Arial" w:cs="Arial" w:eastAsia="Arial" w:hAnsi="Arial"/>
          <w:b/>
          <w:bCs/>
          <w:color w:val="232D5A"/>
          <w:sz w:val="18"/>
          <w:szCs w:val="18"/>
        </w:rPr>
        <w:t xml:space="preserve">Result: </w:t>
      </w:r>
      <w:r>
        <w:rPr>
          <w:rFonts w:ascii="Arial" w:cs="Arial" w:eastAsia="Arial" w:hAnsi="Arial"/>
          <w:color w:val="2E2E2E"/>
          <w:sz w:val="18"/>
          <w:szCs w:val="18"/>
        </w:rPr>
        <w:t xml:space="preserve">Net EV (prime) is negative once redundancy and admin-fee exposure are priced in. Net EV (reseller / authorized-partner admission under an awardee) is ≥ 0 at zero B&amp;P and zero admin-fee exposure, reaching the same buyers. The economically rational path is the reseller lane, not a prime bid.</w:t>
      </w:r>
    </w:p>
    <w:p>
      <w:pPr>
        <w:pBdr>
          <w:bottom w:val="single" w:color="2EA891" w:sz="14"/>
        </w:pBdr>
        <w:spacing w:after="120" w:before="260"/>
      </w:pPr>
      <w:r>
        <w:rPr>
          <w:rFonts w:ascii="Arial" w:cs="Arial" w:eastAsia="Arial" w:hAnsi="Arial"/>
          <w:b/>
          <w:bCs/>
          <w:color w:val="232D5A"/>
          <w:sz w:val="24"/>
          <w:szCs w:val="24"/>
        </w:rPr>
        <w:t xml:space="preserve">6 · Gap analysis</w:t>
      </w:r>
    </w:p>
    <w:p>
      <w:pPr>
        <w:pStyle w:val="ListParagraph"/>
        <w:numPr>
          <w:ilvl w:val="0"/>
          <w:numId w:val="1"/>
        </w:numPr>
        <w:spacing w:after="60"/>
      </w:pPr>
      <w:r>
        <w:rPr>
          <w:rFonts w:ascii="Arial" w:cs="Arial" w:eastAsia="Arial" w:hAnsi="Arial"/>
          <w:b/>
          <w:bCs/>
          <w:i w:val="false"/>
          <w:iCs w:val="false"/>
          <w:color w:val="B91C1C"/>
          <w:sz w:val="18"/>
          <w:szCs w:val="18"/>
        </w:rPr>
        <w:t xml:space="preserve">Vendor-type / vehicle structure — </w:t>
      </w:r>
      <w:r>
        <w:rPr>
          <w:rFonts w:ascii="Arial" w:cs="Arial" w:eastAsia="Arial" w:hAnsi="Arial"/>
          <w:b/>
          <w:bCs/>
          <w:i w:val="false"/>
          <w:iCs w:val="false"/>
          <w:color w:val="2E2E2E"/>
          <w:sz w:val="18"/>
          <w:szCs w:val="18"/>
        </w:rPr>
        <w:t xml:space="preserve">STRUCTURAL, cannot close pre-submission. </w:t>
      </w:r>
      <w:r>
        <w:rPr>
          <w:rFonts w:ascii="Arial" w:cs="Arial" w:eastAsia="Arial" w:hAnsi="Arial"/>
          <w:b w:val="false"/>
          <w:bCs w:val="false"/>
          <w:i w:val="false"/>
          <w:iCs w:val="false"/>
          <w:color w:val="2E2E2E"/>
          <w:sz w:val="18"/>
          <w:szCs w:val="18"/>
        </w:rPr>
        <w:t xml:space="preserve">Catalog/price-list vehicle; no catalog, no manufacturer LOAs, no distribution margin, no national sales force.</w:t>
      </w:r>
    </w:p>
    <w:p>
      <w:pPr>
        <w:pStyle w:val="ListParagraph"/>
        <w:numPr>
          <w:ilvl w:val="0"/>
          <w:numId w:val="1"/>
        </w:numPr>
        <w:spacing w:after="60"/>
      </w:pPr>
      <w:r>
        <w:rPr>
          <w:rFonts w:ascii="Arial" w:cs="Arial" w:eastAsia="Arial" w:hAnsi="Arial"/>
          <w:b/>
          <w:bCs/>
          <w:i w:val="false"/>
          <w:iCs w:val="false"/>
          <w:color w:val="B91C1C"/>
          <w:sz w:val="18"/>
          <w:szCs w:val="18"/>
        </w:rPr>
        <w:t xml:space="preserve">Compliance — </w:t>
      </w:r>
      <w:r>
        <w:rPr>
          <w:rFonts w:ascii="Arial" w:cs="Arial" w:eastAsia="Arial" w:hAnsi="Arial"/>
          <w:b/>
          <w:bCs/>
          <w:i w:val="false"/>
          <w:iCs w:val="false"/>
          <w:color w:val="2E2E2E"/>
          <w:sz w:val="18"/>
          <w:szCs w:val="18"/>
        </w:rPr>
        <w:t xml:space="preserve">not remediable by 2026-09-08. </w:t>
      </w:r>
      <w:r>
        <w:rPr>
          <w:rFonts w:ascii="Arial" w:cs="Arial" w:eastAsia="Arial" w:hAnsi="Arial"/>
          <w:b w:val="false"/>
          <w:bCs w:val="false"/>
          <w:i w:val="false"/>
          <w:iCs w:val="false"/>
          <w:color w:val="2E2E2E"/>
          <w:sz w:val="18"/>
          <w:szCs w:val="18"/>
        </w:rPr>
        <w:t xml:space="preserve">SOC 2 Type 2 absent; no FedRAMP/StateRAMP; K-12 student-privacy posture unestablished. Closable only over months.</w:t>
      </w:r>
    </w:p>
    <w:p>
      <w:pPr>
        <w:pStyle w:val="ListParagraph"/>
        <w:numPr>
          <w:ilvl w:val="0"/>
          <w:numId w:val="1"/>
        </w:numPr>
        <w:spacing w:after="60"/>
      </w:pPr>
      <w:r>
        <w:rPr>
          <w:rFonts w:ascii="Arial" w:cs="Arial" w:eastAsia="Arial" w:hAnsi="Arial"/>
          <w:b/>
          <w:bCs/>
          <w:i w:val="false"/>
          <w:iCs w:val="false"/>
          <w:color w:val="B45309"/>
          <w:sz w:val="18"/>
          <w:szCs w:val="18"/>
        </w:rPr>
        <w:t xml:space="preserve">Past-performance floor — </w:t>
      </w:r>
      <w:r>
        <w:rPr>
          <w:rFonts w:ascii="Arial" w:cs="Arial" w:eastAsia="Arial" w:hAnsi="Arial"/>
          <w:b/>
          <w:bCs/>
          <w:i w:val="false"/>
          <w:iCs w:val="false"/>
          <w:color w:val="2E2E2E"/>
          <w:sz w:val="18"/>
          <w:szCs w:val="18"/>
        </w:rPr>
        <w:t xml:space="preserve">structural this cycle. </w:t>
      </w:r>
      <w:r>
        <w:rPr>
          <w:rFonts w:ascii="Arial" w:cs="Arial" w:eastAsia="Arial" w:hAnsi="Arial"/>
          <w:b w:val="false"/>
          <w:bCs w:val="false"/>
          <w:i w:val="false"/>
          <w:iCs w:val="false"/>
          <w:color w:val="2E2E2E"/>
          <w:sz w:val="18"/>
          <w:szCs w:val="18"/>
        </w:rPr>
        <w:t xml:space="preserve">No K-12 or cooperative-sales references of the type Region 4/OMNIA buyers weight.</w:t>
      </w:r>
    </w:p>
    <w:p>
      <w:pPr>
        <w:pStyle w:val="ListParagraph"/>
        <w:numPr>
          <w:ilvl w:val="0"/>
          <w:numId w:val="1"/>
        </w:numPr>
        <w:spacing w:after="60"/>
      </w:pPr>
      <w:r>
        <w:rPr>
          <w:rFonts w:ascii="Arial" w:cs="Arial" w:eastAsia="Arial" w:hAnsi="Arial"/>
          <w:b/>
          <w:bCs/>
          <w:i w:val="false"/>
          <w:iCs w:val="false"/>
          <w:color w:val="B45309"/>
          <w:sz w:val="18"/>
          <w:szCs w:val="18"/>
        </w:rPr>
        <w:t xml:space="preserve">Geography / capacity — </w:t>
      </w:r>
      <w:r>
        <w:rPr>
          <w:rFonts w:ascii="Arial" w:cs="Arial" w:eastAsia="Arial" w:hAnsi="Arial"/>
          <w:b/>
          <w:bCs/>
          <w:i w:val="false"/>
          <w:iCs w:val="false"/>
          <w:color w:val="2E2E2E"/>
          <w:sz w:val="18"/>
          <w:szCs w:val="18"/>
        </w:rPr>
        <w:t xml:space="preserve">closable only via teaming, not by deadline. </w:t>
      </w:r>
      <w:r>
        <w:rPr>
          <w:rFonts w:ascii="Arial" w:cs="Arial" w:eastAsia="Arial" w:hAnsi="Arial"/>
          <w:b w:val="false"/>
          <w:bCs w:val="false"/>
          <w:i w:val="false"/>
          <w:iCs w:val="false"/>
          <w:color w:val="2E2E2E"/>
          <w:sz w:val="18"/>
          <w:szCs w:val="18"/>
        </w:rPr>
        <w:t xml:space="preserve">No national delivery footprint; no named in-state (TX) partner.</w:t>
      </w:r>
    </w:p>
    <w:p>
      <w:pPr>
        <w:pBdr>
          <w:bottom w:val="single" w:color="2EA891" w:sz="14"/>
        </w:pBdr>
        <w:spacing w:after="120" w:before="260"/>
      </w:pPr>
      <w:r>
        <w:rPr>
          <w:rFonts w:ascii="Arial" w:cs="Arial" w:eastAsia="Arial" w:hAnsi="Arial"/>
          <w:b/>
          <w:bCs/>
          <w:color w:val="232D5A"/>
          <w:sz w:val="24"/>
          <w:szCs w:val="24"/>
        </w:rPr>
        <w:t xml:space="preserve">7 · Strategic finding</w:t>
      </w:r>
    </w:p>
    <w:p>
      <w:pPr>
        <w:spacing w:after="100"/>
      </w:pPr>
      <w:r>
        <w:rPr>
          <w:rFonts w:ascii="Arial" w:cs="Arial" w:eastAsia="Arial" w:hAnsi="Arial"/>
          <w:b/>
          <w:bCs/>
          <w:color w:val="2EA891"/>
          <w:sz w:val="18"/>
          <w:szCs w:val="18"/>
        </w:rPr>
        <w:t xml:space="preserve">Vehicle access is not the VBX constraint. </w:t>
      </w:r>
      <w:r>
        <w:rPr>
          <w:rFonts w:ascii="Arial" w:cs="Arial" w:eastAsia="Arial" w:hAnsi="Arial"/>
          <w:color w:val="2E2E2E"/>
          <w:sz w:val="18"/>
          <w:szCs w:val="18"/>
        </w:rPr>
        <w:t xml:space="preserve">Montana Master AI SPB26-0608GW-VSNBLX, executed 2026-08-14, is already a nationwide cooperative AI vehicle — both tracks, renewable to 10 years. RFP 26-14 would buy a redundant instance at B&amp;P and calendar cost during the CMS ICAT and SOC 2 windows. The accessible alternative is authorized-partner / reseller admission under a 26-14 awardee (the Ingram R220802 model): zero B&amp;P, zero admin-fee exposure, same buyers. Separately, the 26-14 awardees become direct competitors for Montana pull-through — so the award list is worth capturing regardless of the bid decision.</w:t>
      </w:r>
    </w:p>
    <w:p>
      <w:pPr>
        <w:pBdr>
          <w:bottom w:val="single" w:color="2EA891" w:sz="14"/>
        </w:pBdr>
        <w:spacing w:after="120" w:before="260"/>
      </w:pPr>
      <w:r>
        <w:rPr>
          <w:rFonts w:ascii="Arial" w:cs="Arial" w:eastAsia="Arial" w:hAnsi="Arial"/>
          <w:b/>
          <w:bCs/>
          <w:color w:val="232D5A"/>
          <w:sz w:val="24"/>
          <w:szCs w:val="24"/>
        </w:rPr>
        <w:t xml:space="preserve">8 · Deterministic next steps</w:t>
      </w:r>
    </w:p>
    <w:tbl>
      <w:tblPr>
        <w:tblW w:type="dxa" w:w="10080"/>
        <w:tblBorders>
          <w:top w:val="single" w:color="F0F0F0" w:sz="4"/>
          <w:start w:val="single" w:color="F0F0F0" w:sz="4"/>
          <w:bottom w:val="single" w:color="F0F0F0" w:sz="4"/>
          <w:end w:val="single" w:color="F0F0F0" w:sz="4"/>
          <w:insideH w:val="single" w:color="F0F0F0" w:sz="4"/>
          <w:insideV w:val="single" w:color="F0F0F0" w:sz="4"/>
        </w:tblBorders>
      </w:tblPr>
      <w:tblGrid>
        <w:gridCol w:w="1500"/>
        <w:gridCol w:w="3000"/>
        <w:gridCol w:w="1300"/>
        <w:gridCol w:w="1200"/>
        <w:gridCol w:w="3080"/>
      </w:tblGrid>
      <w:tr>
        <w:trPr>
          <w:tblHeader/>
        </w:trPr>
        <w:tc>
          <w:tcPr>
            <w:tcW w:type="dxa" w:w="1500"/>
            <w:tcBorders>
              <w:top w:val="single" w:color="232D5A" w:sz="4"/>
              <w:start w:val="single" w:color="232D5A" w:sz="4"/>
              <w:bottom w:val="single" w:color="232D5A" w:sz="4"/>
              <w:end w:val="single" w:color="232D5A" w:sz="4"/>
            </w:tcBorders>
            <w:shd w:fill="232D5A" w:color="auto" w:val="clear"/>
            <w:tcMar>
              <w:top w:type="dxa" w:w="60"/>
              <w:start w:type="dxa" w:w="100"/>
              <w:bottom w:type="dxa" w:w="60"/>
              <w:end w:type="dxa" w:w="100"/>
            </w:tcMar>
            <w:vAlign w:val="center"/>
          </w:tcPr>
          <w:p>
            <w:pPr>
              <w:spacing w:after="0" w:before="0"/>
              <w:jc w:val="left"/>
            </w:pPr>
            <w:r>
              <w:rPr>
                <w:rFonts w:ascii="Arial" w:cs="Arial" w:eastAsia="Arial" w:hAnsi="Arial"/>
                <w:b/>
                <w:bCs/>
                <w:i w:val="false"/>
                <w:iCs w:val="false"/>
                <w:color w:val="FFFFFF"/>
                <w:sz w:val="18"/>
                <w:szCs w:val="18"/>
              </w:rPr>
              <w:t xml:space="preserve">Action</w:t>
            </w:r>
          </w:p>
        </w:tc>
        <w:tc>
          <w:tcPr>
            <w:tcW w:type="dxa" w:w="3000"/>
            <w:tcBorders>
              <w:top w:val="single" w:color="232D5A" w:sz="4"/>
              <w:start w:val="single" w:color="232D5A" w:sz="4"/>
              <w:bottom w:val="single" w:color="232D5A" w:sz="4"/>
              <w:end w:val="single" w:color="232D5A" w:sz="4"/>
            </w:tcBorders>
            <w:shd w:fill="232D5A" w:color="auto" w:val="clear"/>
            <w:tcMar>
              <w:top w:type="dxa" w:w="60"/>
              <w:start w:type="dxa" w:w="100"/>
              <w:bottom w:type="dxa" w:w="60"/>
              <w:end w:type="dxa" w:w="100"/>
            </w:tcMar>
            <w:vAlign w:val="center"/>
          </w:tcPr>
          <w:p>
            <w:pPr>
              <w:spacing w:after="0" w:before="0"/>
              <w:jc w:val="left"/>
            </w:pPr>
            <w:r>
              <w:rPr>
                <w:rFonts w:ascii="Arial" w:cs="Arial" w:eastAsia="Arial" w:hAnsi="Arial"/>
                <w:b/>
                <w:bCs/>
                <w:i w:val="false"/>
                <w:iCs w:val="false"/>
                <w:color w:val="FFFFFF"/>
                <w:sz w:val="18"/>
                <w:szCs w:val="18"/>
              </w:rPr>
              <w:t xml:space="preserve">Verifiable fact</w:t>
            </w:r>
          </w:p>
        </w:tc>
        <w:tc>
          <w:tcPr>
            <w:tcW w:type="dxa" w:w="1300"/>
            <w:tcBorders>
              <w:top w:val="single" w:color="232D5A" w:sz="4"/>
              <w:start w:val="single" w:color="232D5A" w:sz="4"/>
              <w:bottom w:val="single" w:color="232D5A" w:sz="4"/>
              <w:end w:val="single" w:color="232D5A" w:sz="4"/>
            </w:tcBorders>
            <w:shd w:fill="232D5A" w:color="auto" w:val="clear"/>
            <w:tcMar>
              <w:top w:type="dxa" w:w="60"/>
              <w:start w:type="dxa" w:w="100"/>
              <w:bottom w:type="dxa" w:w="60"/>
              <w:end w:type="dxa" w:w="100"/>
            </w:tcMar>
            <w:vAlign w:val="center"/>
          </w:tcPr>
          <w:p>
            <w:pPr>
              <w:spacing w:after="0" w:before="0"/>
              <w:jc w:val="left"/>
            </w:pPr>
            <w:r>
              <w:rPr>
                <w:rFonts w:ascii="Arial" w:cs="Arial" w:eastAsia="Arial" w:hAnsi="Arial"/>
                <w:b/>
                <w:bCs/>
                <w:i w:val="false"/>
                <w:iCs w:val="false"/>
                <w:color w:val="FFFFFF"/>
                <w:sz w:val="18"/>
                <w:szCs w:val="18"/>
              </w:rPr>
              <w:t xml:space="preserve">Owner</w:t>
            </w:r>
          </w:p>
        </w:tc>
        <w:tc>
          <w:tcPr>
            <w:tcW w:type="dxa" w:w="1200"/>
            <w:tcBorders>
              <w:top w:val="single" w:color="232D5A" w:sz="4"/>
              <w:start w:val="single" w:color="232D5A" w:sz="4"/>
              <w:bottom w:val="single" w:color="232D5A" w:sz="4"/>
              <w:end w:val="single" w:color="232D5A" w:sz="4"/>
            </w:tcBorders>
            <w:shd w:fill="232D5A" w:color="auto" w:val="clear"/>
            <w:tcMar>
              <w:top w:type="dxa" w:w="60"/>
              <w:start w:type="dxa" w:w="100"/>
              <w:bottom w:type="dxa" w:w="60"/>
              <w:end w:type="dxa" w:w="100"/>
            </w:tcMar>
            <w:vAlign w:val="center"/>
          </w:tcPr>
          <w:p>
            <w:pPr>
              <w:spacing w:after="0" w:before="0"/>
              <w:jc w:val="left"/>
            </w:pPr>
            <w:r>
              <w:rPr>
                <w:rFonts w:ascii="Arial" w:cs="Arial" w:eastAsia="Arial" w:hAnsi="Arial"/>
                <w:b/>
                <w:bCs/>
                <w:i w:val="false"/>
                <w:iCs w:val="false"/>
                <w:color w:val="FFFFFF"/>
                <w:sz w:val="18"/>
                <w:szCs w:val="18"/>
              </w:rPr>
              <w:t xml:space="preserve">Deadline</w:t>
            </w:r>
          </w:p>
        </w:tc>
        <w:tc>
          <w:tcPr>
            <w:tcW w:type="dxa" w:w="3080"/>
            <w:tcBorders>
              <w:top w:val="single" w:color="232D5A" w:sz="4"/>
              <w:start w:val="single" w:color="232D5A" w:sz="4"/>
              <w:bottom w:val="single" w:color="232D5A" w:sz="4"/>
              <w:end w:val="single" w:color="232D5A" w:sz="4"/>
            </w:tcBorders>
            <w:shd w:fill="232D5A" w:color="auto" w:val="clear"/>
            <w:tcMar>
              <w:top w:type="dxa" w:w="60"/>
              <w:start w:type="dxa" w:w="100"/>
              <w:bottom w:type="dxa" w:w="60"/>
              <w:end w:type="dxa" w:w="100"/>
            </w:tcMar>
            <w:vAlign w:val="center"/>
          </w:tcPr>
          <w:p>
            <w:pPr>
              <w:spacing w:after="0" w:before="0"/>
              <w:jc w:val="left"/>
            </w:pPr>
            <w:r>
              <w:rPr>
                <w:rFonts w:ascii="Arial" w:cs="Arial" w:eastAsia="Arial" w:hAnsi="Arial"/>
                <w:b/>
                <w:bCs/>
                <w:i w:val="false"/>
                <w:iCs w:val="false"/>
                <w:color w:val="FFFFFF"/>
                <w:sz w:val="18"/>
                <w:szCs w:val="18"/>
              </w:rPr>
              <w:t xml:space="preserve">Binary success condition</w:t>
            </w:r>
          </w:p>
        </w:tc>
      </w:tr>
      <w:tr>
        <w:tc>
          <w:tcPr>
            <w:tcW w:type="dxa" w:w="150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6"/>
                <w:szCs w:val="16"/>
              </w:rPr>
              <w:t xml:space="preserve">Register &amp; download</w:t>
            </w:r>
          </w:p>
        </w:tc>
        <w:tc>
          <w:tcPr>
            <w:tcW w:type="dxa" w:w="300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RFP 26-14 document set behind region4esc.ionwave.net (vendor registration)</w:t>
            </w:r>
          </w:p>
        </w:tc>
        <w:tc>
          <w:tcPr>
            <w:tcW w:type="dxa" w:w="130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Khaalis Wooden</w:t>
            </w:r>
          </w:p>
        </w:tc>
        <w:tc>
          <w:tcPr>
            <w:tcW w:type="dxa" w:w="120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E2E2E"/>
                <w:sz w:val="16"/>
                <w:szCs w:val="16"/>
              </w:rPr>
              <w:t xml:space="preserve">2026-08-26</w:t>
            </w:r>
          </w:p>
        </w:tc>
        <w:tc>
          <w:tcPr>
            <w:tcW w:type="dxa" w:w="308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Full 26-14 set archived to BD Command Center; services-only-eligibility and manufacturer/partner-LOA fields reconciled against this record.</w:t>
            </w:r>
          </w:p>
        </w:tc>
      </w:tr>
      <w:tr>
        <w:tc>
          <w:tcPr>
            <w:tcW w:type="dxa" w:w="150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6"/>
                <w:szCs w:val="16"/>
              </w:rPr>
              <w:t xml:space="preserve">Pull award list</w:t>
            </w:r>
          </w:p>
        </w:tc>
        <w:tc>
          <w:tcPr>
            <w:tcW w:type="dxa" w:w="300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Region 4 ESC board publication of 26-14 awards (esc4.net), target date</w:t>
            </w:r>
          </w:p>
        </w:tc>
        <w:tc>
          <w:tcPr>
            <w:tcW w:type="dxa" w:w="130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Khaalis Wooden</w:t>
            </w:r>
          </w:p>
        </w:tc>
        <w:tc>
          <w:tcPr>
            <w:tcW w:type="dxa" w:w="120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E2E2E"/>
                <w:sz w:val="16"/>
                <w:szCs w:val="16"/>
              </w:rPr>
              <w:t xml:space="preserve">2026-12-15</w:t>
            </w:r>
          </w:p>
        </w:tc>
        <w:tc>
          <w:tcPr>
            <w:tcW w:type="dxa" w:w="308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Award list captured; each awardee screened for VBX authorized-partner/reseller admission (Ingram R220802 model).</w:t>
            </w:r>
          </w:p>
        </w:tc>
      </w:tr>
      <w:tr>
        <w:tc>
          <w:tcPr>
            <w:tcW w:type="dxa" w:w="150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6"/>
                <w:szCs w:val="16"/>
              </w:rPr>
              <w:t xml:space="preserve">Log competitors</w:t>
            </w:r>
          </w:p>
        </w:tc>
        <w:tc>
          <w:tcPr>
            <w:tcW w:type="dxa" w:w="300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Each 26-14 awardee vs. Montana SPB26-0608GW-VSNBLX pull-through</w:t>
            </w:r>
          </w:p>
        </w:tc>
        <w:tc>
          <w:tcPr>
            <w:tcW w:type="dxa" w:w="130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Khaalis Wooden</w:t>
            </w:r>
          </w:p>
        </w:tc>
        <w:tc>
          <w:tcPr>
            <w:tcW w:type="dxa" w:w="120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E2E2E"/>
                <w:sz w:val="16"/>
                <w:szCs w:val="16"/>
              </w:rPr>
              <w:t xml:space="preserve">2026-12-22</w:t>
            </w:r>
          </w:p>
        </w:tc>
        <w:tc>
          <w:tcPr>
            <w:tcW w:type="dxa" w:w="308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Competitor records created in BD Command Center and linked to the Montana pull-through pipeline.</w:t>
            </w:r>
          </w:p>
        </w:tc>
      </w:tr>
      <w:tr>
        <w:tc>
          <w:tcPr>
            <w:tcW w:type="dxa" w:w="150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6"/>
                <w:szCs w:val="16"/>
              </w:rPr>
              <w:t xml:space="preserve">Confirm SOC 2 audit</w:t>
            </w:r>
          </w:p>
        </w:tc>
        <w:tc>
          <w:tcPr>
            <w:tcW w:type="dxa" w:w="300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Recurring Gate 1 compliance disqualifier (this record, Gate 1)</w:t>
            </w:r>
          </w:p>
        </w:tc>
        <w:tc>
          <w:tcPr>
            <w:tcW w:type="dxa" w:w="130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Khaalis Wooden</w:t>
            </w:r>
          </w:p>
        </w:tc>
        <w:tc>
          <w:tcPr>
            <w:tcW w:type="dxa" w:w="120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E2E2E"/>
                <w:sz w:val="16"/>
                <w:szCs w:val="16"/>
              </w:rPr>
              <w:t xml:space="preserve">2026-09-15</w:t>
            </w:r>
          </w:p>
        </w:tc>
        <w:tc>
          <w:tcPr>
            <w:tcW w:type="dxa" w:w="3080"/>
            <w:tcBorders>
              <w:top w:val="single" w:color="F0F0F0" w:sz="4"/>
              <w:start w:val="single" w:color="F0F0F0" w:sz="4"/>
              <w:bottom w:val="single" w:color="F0F0F0" w:sz="4"/>
              <w:end w:val="single" w:color="F0F0F0" w:sz="4"/>
            </w:tcBorders>
            <w:shd w:fill="F7F8FB"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SOC 2 Type 2 audit engagement letter signed.</w:t>
            </w:r>
          </w:p>
        </w:tc>
      </w:tr>
      <w:tr>
        <w:tc>
          <w:tcPr>
            <w:tcW w:type="dxa" w:w="150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32D5A"/>
                <w:sz w:val="16"/>
                <w:szCs w:val="16"/>
              </w:rPr>
              <w:t xml:space="preserve">File &amp; link record</w:t>
            </w:r>
          </w:p>
        </w:tc>
        <w:tc>
          <w:tcPr>
            <w:tcW w:type="dxa" w:w="300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This record: NoBid_Region4ESC_AITotalCloud_20260819.docx</w:t>
            </w:r>
          </w:p>
        </w:tc>
        <w:tc>
          <w:tcPr>
            <w:tcW w:type="dxa" w:w="130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Khaalis Wooden</w:t>
            </w:r>
          </w:p>
        </w:tc>
        <w:tc>
          <w:tcPr>
            <w:tcW w:type="dxa" w:w="120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bCs/>
                <w:i w:val="false"/>
                <w:iCs w:val="false"/>
                <w:color w:val="2E2E2E"/>
                <w:sz w:val="16"/>
                <w:szCs w:val="16"/>
              </w:rPr>
              <w:t xml:space="preserve">2026-08-19</w:t>
            </w:r>
          </w:p>
        </w:tc>
        <w:tc>
          <w:tcPr>
            <w:tcW w:type="dxa" w:w="3080"/>
            <w:tcBorders>
              <w:top w:val="single" w:color="F0F0F0" w:sz="4"/>
              <w:start w:val="single" w:color="F0F0F0" w:sz="4"/>
              <w:bottom w:val="single" w:color="F0F0F0" w:sz="4"/>
              <w:end w:val="single" w:color="F0F0F0" w:sz="4"/>
            </w:tcBorders>
            <w:shd w:fill="FFFFFF" w:color="auto" w:val="clear"/>
            <w:tcMar>
              <w:top w:type="dxa" w:w="60"/>
              <w:start w:type="dxa" w:w="100"/>
              <w:bottom w:type="dxa" w:w="60"/>
              <w:end w:type="dxa" w:w="100"/>
            </w:tcMar>
            <w:vAlign w:val="center"/>
          </w:tcPr>
          <w:p>
            <w:pPr>
              <w:spacing w:after="0" w:before="0"/>
            </w:pPr>
            <w:r>
              <w:rPr>
                <w:rFonts w:ascii="Arial" w:cs="Arial" w:eastAsia="Arial" w:hAnsi="Arial"/>
                <w:b w:val="false"/>
                <w:bCs w:val="false"/>
                <w:i w:val="false"/>
                <w:iCs w:val="false"/>
                <w:color w:val="2E2E2E"/>
                <w:sz w:val="16"/>
                <w:szCs w:val="16"/>
              </w:rPr>
              <w:t xml:space="preserve">BD Command Center OPP-040 row shows Stage = No-Bid (Prime) with this DOCX linked.</w:t>
            </w:r>
          </w:p>
        </w:tc>
      </w:tr>
    </w:tbl>
    <w:p>
      <w:pPr>
        <w:pBdr>
          <w:bottom w:val="single" w:color="2EA891" w:sz="14"/>
        </w:pBdr>
        <w:spacing w:after="120" w:before="260"/>
      </w:pPr>
      <w:r>
        <w:rPr>
          <w:rFonts w:ascii="Arial" w:cs="Arial" w:eastAsia="Arial" w:hAnsi="Arial"/>
          <w:b/>
          <w:bCs/>
          <w:color w:val="232D5A"/>
          <w:sz w:val="24"/>
          <w:szCs w:val="24"/>
        </w:rPr>
        <w:t xml:space="preserve">9 · Recommendation</w:t>
      </w:r>
    </w:p>
    <w:tbl>
      <w:tblPr>
        <w:tblW w:type="dxa" w:w="10080"/>
        <w:tblBorders>
          <w:top w:val="single" w:color="232D5A" w:sz="4"/>
          <w:start w:val="single" w:color="232D5A" w:sz="4"/>
          <w:bottom w:val="single" w:color="232D5A" w:sz="4"/>
          <w:end w:val="single" w:color="232D5A" w:sz="4"/>
          <w:insideH w:val="none" w:color="FFFFFF" w:sz="0"/>
          <w:insideV w:val="none" w:color="FFFFFF" w:sz="0"/>
        </w:tblBorders>
      </w:tblPr>
      <w:tblGrid>
        <w:gridCol w:w="10080"/>
      </w:tblGrid>
      <w:tr>
        <w:tc>
          <w:tcPr>
            <w:tcW w:type="dxa" w:w="10080"/>
            <w:tcBorders>
              <w:top w:val="single" w:color="232D5A" w:sz="4"/>
              <w:start w:val="single" w:color="232D5A" w:sz="4"/>
              <w:bottom w:val="single" w:color="232D5A" w:sz="4"/>
              <w:end w:val="single" w:color="232D5A" w:sz="4"/>
            </w:tcBorders>
            <w:shd w:fill="232D5A" w:color="auto" w:val="clear"/>
            <w:tcMar>
              <w:top w:type="dxa" w:w="120"/>
              <w:start w:type="dxa" w:w="180"/>
              <w:bottom w:type="dxa" w:w="120"/>
              <w:end w:type="dxa" w:w="180"/>
            </w:tcMar>
          </w:tcPr>
          <w:p>
            <w:pPr>
              <w:spacing w:after="40"/>
            </w:pPr>
            <w:r>
              <w:rPr>
                <w:rFonts w:ascii="Arial" w:cs="Arial" w:eastAsia="Arial" w:hAnsi="Arial"/>
                <w:b/>
                <w:bCs/>
                <w:color w:val="FFFFFF"/>
                <w:sz w:val="22"/>
                <w:szCs w:val="22"/>
              </w:rPr>
              <w:t xml:space="preserve">RECOMMENDATION:  </w:t>
            </w:r>
            <w:r>
              <w:rPr>
                <w:rFonts w:ascii="Arial" w:cs="Arial" w:eastAsia="Arial" w:hAnsi="Arial"/>
                <w:b/>
                <w:bCs/>
                <w:color w:val="F7B801"/>
                <w:sz w:val="22"/>
                <w:szCs w:val="22"/>
              </w:rPr>
              <w:t xml:space="preserve">NO-BID AS PRIME</w:t>
            </w:r>
          </w:p>
          <w:p>
            <w:pPr>
              <w:spacing w:after="0"/>
            </w:pPr>
            <w:r>
              <w:rPr>
                <w:rFonts w:ascii="Arial" w:cs="Arial" w:eastAsia="Arial" w:hAnsi="Arial"/>
                <w:color w:val="E6E8F2"/>
                <w:sz w:val="18"/>
                <w:szCs w:val="18"/>
              </w:rPr>
              <w:t xml:space="preserve">Do not pursue a 26-14 prime response. Pursue authorized-partner / reseller admission under a 26-14 awardee post-award (Ingram R220802 model) at zero B&amp;P and zero admin-fee exposure. Capture the award list for Montana (SPB26-0608GW-VSNBLX) competitive intelligence regardless of the bid decision.</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32D5A" w:sz="8"/>
      </w:pBdr>
      <w:spacing w:after="0" w:before="0"/>
      <w:jc w:val="center"/>
    </w:pPr>
    <w:r>
      <w:rPr>
        <w:rFonts w:ascii="Arial" w:cs="Arial" w:eastAsia="Arial" w:hAnsi="Arial"/>
        <w:b/>
        <w:bCs/>
        <w:color w:val="232D5A"/>
        <w:sz w:val="15"/>
        <w:szCs w:val="15"/>
      </w:rPr>
      <w:t xml:space="preserve">Visionblox LLC</w:t>
    </w:r>
    <w:r>
      <w:rPr>
        <w:rFonts w:ascii="Arial" w:cs="Arial" w:eastAsia="Arial" w:hAnsi="Arial"/>
        <w:color w:val="2E2E2E"/>
        <w:sz w:val="15"/>
        <w:szCs w:val="15"/>
      </w:rPr>
      <w:t xml:space="preserve">   ·   CAGE 9Z4X2   ·   UEI H4X2Z7R9E3E3   ·   </w:t>
    </w:r>
    <w:r>
      <w:rPr>
        <w:rFonts w:ascii="Arial" w:cs="Arial" w:eastAsia="Arial" w:hAnsi="Arial"/>
        <w:color w:val="2E2E2E"/>
        <w:sz w:val="15"/>
        <w:szCs w:val="15"/>
      </w:rPr>
      <w:t xml:space="preserve">Khaalis Wooden, Director of Enterprise Capture &amp; Compliance   ·   (256) 988-1130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NoBid — Region 4 ESC RFP 26-14 (AI &amp; Total Cloud Solutions)</dc:title>
  <dc:creator>Visionblox LLC</dc:creator>
  <dc:description>Bid/No-Bid Decision Record</dc:description>
  <cp:lastModifiedBy>Un-named</cp:lastModifiedBy>
  <cp:revision>1</cp:revision>
  <dcterms:created xsi:type="dcterms:W3CDTF">2026-08-19T17:32:59.786Z</dcterms:created>
  <dcterms:modified xsi:type="dcterms:W3CDTF">2026-08-19T17:32:59.787Z</dcterms:modified>
</cp:coreProperties>
</file>

<file path=docProps/custom.xml><?xml version="1.0" encoding="utf-8"?>
<Properties xmlns="http://schemas.openxmlformats.org/officeDocument/2006/custom-properties" xmlns:vt="http://schemas.openxmlformats.org/officeDocument/2006/docPropsVTypes"/>
</file>