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FluxorX — Interview Prep Guide</w:t>
      </w:r>
    </w:p>
    <w:p>
      <w:pPr>
        <w:spacing w:after="120"/>
      </w:pPr>
      <w:r>
        <w:rPr>
          <w:i/>
          <w:iCs/>
        </w:rPr>
        <w:t xml:space="preserve">A quick-reference card for talking about this project confidently in interviews — tech stack, key terms, and employer-style questions with ready answers.</w:t>
      </w:r>
    </w:p>
    <w:p>
      <w:pPr>
        <w:pStyle w:val="Heading1"/>
        <w:spacing w:after="150" w:before="300"/>
      </w:pPr>
      <w:r>
        <w:t xml:space="preserve">The One-Line Pitch</w:t>
      </w:r>
    </w:p>
    <w:p>
      <w:pPr>
        <w:spacing w:after="120"/>
      </w:pPr>
      <w:r>
        <w:t xml:space="preserve">“FluxorX is an AI command center I designed and built solo — it ingests business spreadsheet data, validates it, visualizes it on an executive dashboard, and lets you ask questions or trigger automations in plain English, with a deterministic AI layer that's upgrade-ready for a real LLM.”</w:t>
      </w:r>
    </w:p>
    <w:p>
      <w:pPr>
        <w:pStyle w:val="Heading1"/>
        <w:spacing w:after="150" w:before="300"/>
      </w:pPr>
      <w:r>
        <w:t xml:space="preserve">Key Numbers to Have Ready</w:t>
      </w:r>
    </w:p>
    <w:p>
      <w:pPr>
        <w:pStyle w:val="ListParagraph"/>
        <w:numPr>
          <w:ilvl w:val="0"/>
          <w:numId w:val="2"/>
        </w:numPr>
        <w:spacing w:after="80"/>
      </w:pPr>
      <w:r>
        <w:t xml:space="preserve">19 / 19 acceptance criteria met and verified</w:t>
      </w:r>
    </w:p>
    <w:p>
      <w:pPr>
        <w:pStyle w:val="ListParagraph"/>
        <w:numPr>
          <w:ilvl w:val="0"/>
          <w:numId w:val="2"/>
        </w:numPr>
        <w:spacing w:after="80"/>
      </w:pPr>
      <w:r>
        <w:t xml:space="preserve">38-table Postgres schema with Row Level Security</w:t>
      </w:r>
    </w:p>
    <w:p>
      <w:pPr>
        <w:pStyle w:val="ListParagraph"/>
        <w:numPr>
          <w:ilvl w:val="0"/>
          <w:numId w:val="2"/>
        </w:numPr>
        <w:spacing w:after="80"/>
      </w:pPr>
      <w:r>
        <w:t xml:space="preserve">12 build stages, fully complete, in 2 working days</w:t>
      </w:r>
    </w:p>
    <w:p>
      <w:pPr>
        <w:pStyle w:val="ListParagraph"/>
        <w:numPr>
          <w:ilvl w:val="0"/>
          <w:numId w:val="2"/>
        </w:numPr>
        <w:spacing w:after="80"/>
      </w:pPr>
      <w:r>
        <w:t xml:space="preserve">Zero paid services — entire stack runs on free tiers</w:t>
      </w:r>
    </w:p>
    <w:p>
      <w:pPr>
        <w:pStyle w:val="ListParagraph"/>
        <w:numPr>
          <w:ilvl w:val="0"/>
          <w:numId w:val="2"/>
        </w:numPr>
        <w:spacing w:after="80"/>
      </w:pPr>
      <w:r>
        <w:t xml:space="preserve">Zero LLM API cost at runtime — deterministic AI engine</w:t>
      </w:r>
    </w:p>
    <w:p>
      <w:pPr>
        <w:pStyle w:val="Heading1"/>
        <w:spacing w:after="150" w:before="300"/>
      </w:pPr>
      <w:r>
        <w:t xml:space="preserve">Tech Stack —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1A1A1A" w:val="clear"/>
          </w:tcPr>
          <w:p>
            <w:r>
              <w:rPr>
                <w:b/>
                <w:bCs/>
                <w:color w:val="FFFFFF"/>
              </w:rPr>
              <w:t xml:space="preserve">Layer</w:t>
            </w:r>
          </w:p>
        </w:tc>
        <w:tc>
          <w:tcPr>
            <w:tcW w:type="dxa" w:w="6850"/>
            <w:shd w:fill="1A1A1A" w:val="clear"/>
          </w:tcPr>
          <w:p>
            <w:r>
              <w:rPr>
                <w:b/>
                <w:bCs/>
                <w:color w:val="FFFFFF"/>
              </w:rPr>
              <w:t xml:space="preserve">Technology</w:t>
            </w:r>
          </w:p>
        </w:tc>
      </w:tr>
      <w:tr>
        <w:tc>
          <w:tcPr>
            <w:tcW w:type="dxa" w:w="2500"/>
          </w:tcPr>
          <w:p>
            <w:r>
              <w:rPr>
                <w:b w:val="false"/>
                <w:bCs w:val="false"/>
                <w:color w:val="000000"/>
              </w:rPr>
              <w:t xml:space="preserve">Framework</w:t>
            </w:r>
          </w:p>
        </w:tc>
        <w:tc>
          <w:tcPr>
            <w:tcW w:type="dxa" w:w="6850"/>
          </w:tcPr>
          <w:p>
            <w:r>
              <w:rPr>
                <w:b w:val="false"/>
                <w:bCs w:val="false"/>
                <w:color w:val="000000"/>
              </w:rPr>
              <w:t xml:space="preserve">Next.js 16 (App Router, Turbopack)</w:t>
            </w:r>
          </w:p>
        </w:tc>
      </w:tr>
      <w:tr>
        <w:tc>
          <w:tcPr>
            <w:tcW w:type="dxa" w:w="2500"/>
          </w:tcPr>
          <w:p>
            <w:r>
              <w:rPr>
                <w:b w:val="false"/>
                <w:bCs w:val="false"/>
                <w:color w:val="000000"/>
              </w:rPr>
              <w:t xml:space="preserve">Language</w:t>
            </w:r>
          </w:p>
        </w:tc>
        <w:tc>
          <w:tcPr>
            <w:tcW w:type="dxa" w:w="6850"/>
          </w:tcPr>
          <w:p>
            <w:r>
              <w:rPr>
                <w:b w:val="false"/>
                <w:bCs w:val="false"/>
                <w:color w:val="000000"/>
              </w:rPr>
              <w:t xml:space="preserve">TypeScript, React 19</w:t>
            </w:r>
          </w:p>
        </w:tc>
      </w:tr>
      <w:tr>
        <w:tc>
          <w:tcPr>
            <w:tcW w:type="dxa" w:w="2500"/>
          </w:tcPr>
          <w:p>
            <w:r>
              <w:rPr>
                <w:b w:val="false"/>
                <w:bCs w:val="false"/>
                <w:color w:val="000000"/>
              </w:rPr>
              <w:t xml:space="preserve">Styling</w:t>
            </w:r>
          </w:p>
        </w:tc>
        <w:tc>
          <w:tcPr>
            <w:tcW w:type="dxa" w:w="6850"/>
          </w:tcPr>
          <w:p>
            <w:r>
              <w:rPr>
                <w:b w:val="false"/>
                <w:bCs w:val="false"/>
                <w:color w:val="000000"/>
              </w:rPr>
              <w:t xml:space="preserve">Tailwind CSS v4, shadcn/ui</w:t>
            </w:r>
          </w:p>
        </w:tc>
      </w:tr>
      <w:tr>
        <w:tc>
          <w:tcPr>
            <w:tcW w:type="dxa" w:w="2500"/>
          </w:tcPr>
          <w:p>
            <w:r>
              <w:rPr>
                <w:b w:val="false"/>
                <w:bCs w:val="false"/>
                <w:color w:val="000000"/>
              </w:rPr>
              <w:t xml:space="preserve">Animation</w:t>
            </w:r>
          </w:p>
        </w:tc>
        <w:tc>
          <w:tcPr>
            <w:tcW w:type="dxa" w:w="6850"/>
          </w:tcPr>
          <w:p>
            <w:r>
              <w:rPr>
                <w:b w:val="false"/>
                <w:bCs w:val="false"/>
                <w:color w:val="000000"/>
              </w:rPr>
              <w:t xml:space="preserve">Framer Motion, Three.js + React Three Fiber</w:t>
            </w:r>
          </w:p>
        </w:tc>
      </w:tr>
      <w:tr>
        <w:tc>
          <w:tcPr>
            <w:tcW w:type="dxa" w:w="2500"/>
          </w:tcPr>
          <w:p>
            <w:r>
              <w:rPr>
                <w:b w:val="false"/>
                <w:bCs w:val="false"/>
                <w:color w:val="000000"/>
              </w:rPr>
              <w:t xml:space="preserve">Database</w:t>
            </w:r>
          </w:p>
        </w:tc>
        <w:tc>
          <w:tcPr>
            <w:tcW w:type="dxa" w:w="6850"/>
          </w:tcPr>
          <w:p>
            <w:r>
              <w:rPr>
                <w:b w:val="false"/>
                <w:bCs w:val="false"/>
                <w:color w:val="000000"/>
              </w:rPr>
              <w:t xml:space="preserve">Supabase (Postgres, Mumbai region), Row Level Security</w:t>
            </w:r>
          </w:p>
        </w:tc>
      </w:tr>
      <w:tr>
        <w:tc>
          <w:tcPr>
            <w:tcW w:type="dxa" w:w="2500"/>
          </w:tcPr>
          <w:p>
            <w:r>
              <w:rPr>
                <w:b w:val="false"/>
                <w:bCs w:val="false"/>
                <w:color w:val="000000"/>
              </w:rPr>
              <w:t xml:space="preserve">Auth</w:t>
            </w:r>
          </w:p>
        </w:tc>
        <w:tc>
          <w:tcPr>
            <w:tcW w:type="dxa" w:w="6850"/>
          </w:tcPr>
          <w:p>
            <w:r>
              <w:rPr>
                <w:b w:val="false"/>
                <w:bCs w:val="false"/>
                <w:color w:val="000000"/>
              </w:rPr>
              <w:t xml:space="preserve">Supabase Auth (email/password, SSR-compatible clients)</w:t>
            </w:r>
          </w:p>
        </w:tc>
      </w:tr>
      <w:tr>
        <w:tc>
          <w:tcPr>
            <w:tcW w:type="dxa" w:w="2500"/>
          </w:tcPr>
          <w:p>
            <w:r>
              <w:rPr>
                <w:b w:val="false"/>
                <w:bCs w:val="false"/>
                <w:color w:val="000000"/>
              </w:rPr>
              <w:t xml:space="preserve">Data parsing</w:t>
            </w:r>
          </w:p>
        </w:tc>
        <w:tc>
          <w:tcPr>
            <w:tcW w:type="dxa" w:w="6850"/>
          </w:tcPr>
          <w:p>
            <w:r>
              <w:rPr>
                <w:b w:val="false"/>
                <w:bCs w:val="false"/>
                <w:color w:val="000000"/>
              </w:rPr>
              <w:t xml:space="preserve">SheetJS (xlsx) for Excel/CSV ingestion</w:t>
            </w:r>
          </w:p>
        </w:tc>
      </w:tr>
      <w:tr>
        <w:tc>
          <w:tcPr>
            <w:tcW w:type="dxa" w:w="2500"/>
          </w:tcPr>
          <w:p>
            <w:r>
              <w:rPr>
                <w:b w:val="false"/>
                <w:bCs w:val="false"/>
                <w:color w:val="000000"/>
              </w:rPr>
              <w:t xml:space="preserve">Charts</w:t>
            </w:r>
          </w:p>
        </w:tc>
        <w:tc>
          <w:tcPr>
            <w:tcW w:type="dxa" w:w="6850"/>
          </w:tcPr>
          <w:p>
            <w:r>
              <w:rPr>
                <w:b w:val="false"/>
                <w:bCs w:val="false"/>
                <w:color w:val="000000"/>
              </w:rPr>
              <w:t xml:space="preserve">Recharts, dynamically imported</w:t>
            </w:r>
          </w:p>
        </w:tc>
      </w:tr>
      <w:tr>
        <w:tc>
          <w:tcPr>
            <w:tcW w:type="dxa" w:w="2500"/>
          </w:tcPr>
          <w:p>
            <w:r>
              <w:rPr>
                <w:b w:val="false"/>
                <w:bCs w:val="false"/>
                <w:color w:val="000000"/>
              </w:rPr>
              <w:t xml:space="preserve">Email</w:t>
            </w:r>
          </w:p>
        </w:tc>
        <w:tc>
          <w:tcPr>
            <w:tcW w:type="dxa" w:w="6850"/>
          </w:tcPr>
          <w:p>
            <w:r>
              <w:rPr>
                <w:b w:val="false"/>
                <w:bCs w:val="false"/>
                <w:color w:val="000000"/>
              </w:rPr>
              <w:t xml:space="preserve">Resend API via Next.js API route</w:t>
            </w:r>
          </w:p>
        </w:tc>
      </w:tr>
      <w:tr>
        <w:tc>
          <w:tcPr>
            <w:tcW w:type="dxa" w:w="2500"/>
          </w:tcPr>
          <w:p>
            <w:r>
              <w:rPr>
                <w:b w:val="false"/>
                <w:bCs w:val="false"/>
                <w:color w:val="000000"/>
              </w:rPr>
              <w:t xml:space="preserve">Hosting</w:t>
            </w:r>
          </w:p>
        </w:tc>
        <w:tc>
          <w:tcPr>
            <w:tcW w:type="dxa" w:w="6850"/>
          </w:tcPr>
          <w:p>
            <w:r>
              <w:rPr>
                <w:b w:val="false"/>
                <w:bCs w:val="false"/>
                <w:color w:val="000000"/>
              </w:rPr>
              <w:t xml:space="preserve">Vercel, connected to GitHub for CI/CD</w:t>
            </w:r>
          </w:p>
        </w:tc>
      </w:tr>
      <w:tr>
        <w:tc>
          <w:tcPr>
            <w:tcW w:type="dxa" w:w="2500"/>
          </w:tcPr>
          <w:p>
            <w:r>
              <w:rPr>
                <w:b w:val="false"/>
                <w:bCs w:val="false"/>
                <w:color w:val="000000"/>
              </w:rPr>
              <w:t xml:space="preserve">AI Layer</w:t>
            </w:r>
          </w:p>
        </w:tc>
        <w:tc>
          <w:tcPr>
            <w:tcW w:type="dxa" w:w="6850"/>
          </w:tcPr>
          <w:p>
            <w:r>
              <w:rPr>
                <w:b w:val="false"/>
                <w:bCs w:val="false"/>
                <w:color w:val="000000"/>
              </w:rPr>
              <w:t xml:space="preserve">Deterministic intent engine (no LLM at runtime); upgrade path to Claude API</w:t>
            </w:r>
          </w:p>
        </w:tc>
      </w:tr>
    </w:tbl>
    <w:p>
      <w:pPr>
        <w:pStyle w:val="Heading1"/>
        <w:spacing w:after="150" w:before="300"/>
      </w:pPr>
      <w:r>
        <w:t xml:space="preserve">Glossary — Terms You Should Be Able to Define Instantly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A1A1A" w:val="clear"/>
          </w:tcPr>
          <w:p>
            <w:r>
              <w:rPr>
                <w:b/>
                <w:bCs/>
                <w:color w:val="FFFFFF"/>
              </w:rPr>
              <w:t xml:space="preserve">Term</w:t>
            </w:r>
          </w:p>
        </w:tc>
        <w:tc>
          <w:tcPr>
            <w:tcW w:type="dxa" w:w="7150"/>
            <w:shd w:fill="1A1A1A" w:val="clear"/>
          </w:tcPr>
          <w:p>
            <w:r>
              <w:rPr>
                <w:b/>
                <w:bCs/>
                <w:color w:val="FFFFFF"/>
              </w:rPr>
              <w:t xml:space="preserve">Definition</w:t>
            </w:r>
          </w:p>
        </w:tc>
      </w:tr>
      <w:tr>
        <w:tc>
          <w:tcPr>
            <w:tcW w:type="dxa" w:w="2200"/>
          </w:tcPr>
          <w:p>
            <w:r>
              <w:rPr>
                <w:b w:val="false"/>
                <w:bCs w:val="false"/>
                <w:color w:val="000000"/>
              </w:rPr>
              <w:t xml:space="preserve">Row Level Security (RLS)</w:t>
            </w:r>
          </w:p>
        </w:tc>
        <w:tc>
          <w:tcPr>
            <w:tcW w:type="dxa" w:w="7150"/>
          </w:tcPr>
          <w:p>
            <w:r>
              <w:rPr>
                <w:b w:val="false"/>
                <w:bCs w:val="false"/>
                <w:color w:val="000000"/>
              </w:rPr>
              <w:t xml:space="preserve">A Postgres feature that restricts which rows a query can see based on the logged-in user's context — used here so each organization only ever sees its own data.</w:t>
            </w:r>
          </w:p>
        </w:tc>
      </w:tr>
      <w:tr>
        <w:tc>
          <w:tcPr>
            <w:tcW w:type="dxa" w:w="2200"/>
          </w:tcPr>
          <w:p>
            <w:r>
              <w:rPr>
                <w:b w:val="false"/>
                <w:bCs w:val="false"/>
                <w:color w:val="000000"/>
              </w:rPr>
              <w:t xml:space="preserve">RBAC</w:t>
            </w:r>
          </w:p>
        </w:tc>
        <w:tc>
          <w:tcPr>
            <w:tcW w:type="dxa" w:w="7150"/>
          </w:tcPr>
          <w:p>
            <w:r>
              <w:rPr>
                <w:b w:val="false"/>
                <w:bCs w:val="false"/>
                <w:color w:val="000000"/>
              </w:rPr>
              <w:t xml:space="preserve">Role-Based Access Control — permissions determined by a user's assigned role (Admin vs Viewer), not by individual user ID.</w:t>
            </w:r>
          </w:p>
        </w:tc>
      </w:tr>
      <w:tr>
        <w:tc>
          <w:tcPr>
            <w:tcW w:type="dxa" w:w="2200"/>
          </w:tcPr>
          <w:p>
            <w:r>
              <w:rPr>
                <w:b w:val="false"/>
                <w:bCs w:val="false"/>
                <w:color w:val="000000"/>
              </w:rPr>
              <w:t xml:space="preserve">Deterministic AI</w:t>
            </w:r>
          </w:p>
        </w:tc>
        <w:tc>
          <w:tcPr>
            <w:tcW w:type="dxa" w:w="7150"/>
          </w:tcPr>
          <w:p>
            <w:r>
              <w:rPr>
                <w:b w:val="false"/>
                <w:bCs w:val="false"/>
                <w:color w:val="000000"/>
              </w:rPr>
              <w:t xml:space="preserve">An approach where responses come from fixed, pre-built logic/query patterns rather than a probabilistic language model — same input always gives the same output, zero hallucination risk.</w:t>
            </w:r>
          </w:p>
        </w:tc>
      </w:tr>
      <w:tr>
        <w:tc>
          <w:tcPr>
            <w:tcW w:type="dxa" w:w="2200"/>
          </w:tcPr>
          <w:p>
            <w:r>
              <w:rPr>
                <w:b w:val="false"/>
                <w:bCs w:val="false"/>
                <w:color w:val="000000"/>
              </w:rPr>
              <w:t xml:space="preserve">Dynamic import</w:t>
            </w:r>
          </w:p>
        </w:tc>
        <w:tc>
          <w:tcPr>
            <w:tcW w:type="dxa" w:w="7150"/>
          </w:tcPr>
          <w:p>
            <w:r>
              <w:rPr>
                <w:b w:val="false"/>
                <w:bCs w:val="false"/>
                <w:color w:val="000000"/>
              </w:rPr>
              <w:t xml:space="preserve">Loading a JavaScript module only when needed at runtime instead of bundling it upfront — used here to keep the initial page load fast.</w:t>
            </w:r>
          </w:p>
        </w:tc>
      </w:tr>
      <w:tr>
        <w:tc>
          <w:tcPr>
            <w:tcW w:type="dxa" w:w="2200"/>
          </w:tcPr>
          <w:p>
            <w:r>
              <w:rPr>
                <w:b w:val="false"/>
                <w:bCs w:val="false"/>
                <w:color w:val="000000"/>
              </w:rPr>
              <w:t xml:space="preserve">SSR</w:t>
            </w:r>
          </w:p>
        </w:tc>
        <w:tc>
          <w:tcPr>
            <w:tcW w:type="dxa" w:w="7150"/>
          </w:tcPr>
          <w:p>
            <w:r>
              <w:rPr>
                <w:b w:val="false"/>
                <w:bCs w:val="false"/>
                <w:color w:val="000000"/>
              </w:rPr>
              <w:t xml:space="preserve">Server-Side Rendering — rendering React components on the server before sending HTML to the browser, improving load speed and SEO.</w:t>
            </w:r>
          </w:p>
        </w:tc>
      </w:tr>
      <w:tr>
        <w:tc>
          <w:tcPr>
            <w:tcW w:type="dxa" w:w="2200"/>
          </w:tcPr>
          <w:p>
            <w:r>
              <w:rPr>
                <w:b w:val="false"/>
                <w:bCs w:val="false"/>
                <w:color w:val="000000"/>
              </w:rPr>
              <w:t xml:space="preserve">Turbopack</w:t>
            </w:r>
          </w:p>
        </w:tc>
        <w:tc>
          <w:tcPr>
            <w:tcW w:type="dxa" w:w="7150"/>
          </w:tcPr>
          <w:p>
            <w:r>
              <w:rPr>
                <w:b w:val="false"/>
                <w:bCs w:val="false"/>
                <w:color w:val="000000"/>
              </w:rPr>
              <w:t xml:space="preserve">Next.js's Rust-based bundler, replacing Webpack for faster builds and dev server startup.</w:t>
            </w:r>
          </w:p>
        </w:tc>
      </w:tr>
      <w:tr>
        <w:tc>
          <w:tcPr>
            <w:tcW w:type="dxa" w:w="2200"/>
          </w:tcPr>
          <w:p>
            <w:r>
              <w:rPr>
                <w:b w:val="false"/>
                <w:bCs w:val="false"/>
                <w:color w:val="000000"/>
              </w:rPr>
              <w:t xml:space="preserve">Audit log</w:t>
            </w:r>
          </w:p>
        </w:tc>
        <w:tc>
          <w:tcPr>
            <w:tcW w:type="dxa" w:w="7150"/>
          </w:tcPr>
          <w:p>
            <w:r>
              <w:rPr>
                <w:b w:val="false"/>
                <w:bCs w:val="false"/>
                <w:color w:val="000000"/>
              </w:rPr>
              <w:t xml:space="preserve">A permanent record of who did what and when — every key action (upload, approval, send) writes a row to an audit_logs table.</w:t>
            </w:r>
          </w:p>
        </w:tc>
      </w:tr>
      <w:tr>
        <w:tc>
          <w:tcPr>
            <w:tcW w:type="dxa" w:w="2200"/>
          </w:tcPr>
          <w:p>
            <w:r>
              <w:rPr>
                <w:b w:val="false"/>
                <w:bCs w:val="false"/>
                <w:color w:val="000000"/>
              </w:rPr>
              <w:t xml:space="preserve">Environment variable</w:t>
            </w:r>
          </w:p>
        </w:tc>
        <w:tc>
          <w:tcPr>
            <w:tcW w:type="dxa" w:w="7150"/>
          </w:tcPr>
          <w:p>
            <w:r>
              <w:rPr>
                <w:b w:val="false"/>
                <w:bCs w:val="false"/>
                <w:color w:val="000000"/>
              </w:rPr>
              <w:t xml:space="preserve">A configuration value (like an API key) injected at runtime rather than hardcoded — keeps secrets out of source code.</w:t>
            </w:r>
          </w:p>
        </w:tc>
      </w:tr>
      <w:tr>
        <w:tc>
          <w:tcPr>
            <w:tcW w:type="dxa" w:w="2200"/>
          </w:tcPr>
          <w:p>
            <w:r>
              <w:rPr>
                <w:b w:val="false"/>
                <w:bCs w:val="false"/>
                <w:color w:val="000000"/>
              </w:rPr>
              <w:t xml:space="preserve">OAuth 2.0</w:t>
            </w:r>
          </w:p>
        </w:tc>
        <w:tc>
          <w:tcPr>
            <w:tcW w:type="dxa" w:w="7150"/>
          </w:tcPr>
          <w:p>
            <w:r>
              <w:rPr>
                <w:b w:val="false"/>
                <w:bCs w:val="false"/>
                <w:color w:val="000000"/>
              </w:rPr>
              <w:t xml:space="preserve">An authorization protocol letting one app access data in another (e.g. QuickBooks) without ever seeing the user's password.</w:t>
            </w:r>
          </w:p>
        </w:tc>
      </w:tr>
    </w:tbl>
    <w:p>
      <w:pPr>
        <w:pStyle w:val="Heading1"/>
        <w:spacing w:after="150" w:before="300"/>
      </w:pPr>
      <w:r>
        <w:t xml:space="preserve">Employer-Style Questions and Answers</w:t>
      </w:r>
    </w:p>
    <w:p>
      <w:pPr>
        <w:pStyle w:val="Heading2"/>
        <w:spacing w:after="100" w:before="200"/>
      </w:pPr>
      <w:r>
        <w:t xml:space="preserve">Technical Depth</w:t>
      </w:r>
    </w:p>
    <w:p>
      <w:pPr>
        <w:spacing w:after="60" w:before="160"/>
      </w:pPr>
      <w:r>
        <w:rPr>
          <w:b/>
          <w:bCs/>
        </w:rPr>
        <w:t xml:space="preserve">Q: Walk me through your architecture.</w:t>
      </w:r>
    </w:p>
    <w:p>
      <w:pPr>
        <w:spacing w:after="60"/>
      </w:pPr>
      <w:r>
        <w:t xml:space="preserve">A: Next.js frontend and API routes talk to Supabase Postgres, which enforces Row Level Security so every organization's data is isolated automatically at the database layer, not just in application code. Uploaded files are parsed client-side with SheetJS, validated against business rules, and landed into a raw_records table. A deterministic AI layer queries that same data through fixed intent patterns rather than calling an LLM, which keeps it fast, free, and hallucination-free, while still being structured so I can swap in the Claude API later by only touching one file.</w:t>
      </w:r>
    </w:p>
    <w:p>
      <w:pPr>
        <w:spacing w:after="60" w:before="160"/>
      </w:pPr>
      <w:r>
        <w:rPr>
          <w:b/>
          <w:bCs/>
        </w:rPr>
        <w:t xml:space="preserve">Q: Why did you choose a deterministic AI engine instead of just calling an LLM API?</w:t>
      </w:r>
    </w:p>
    <w:p>
      <w:pPr>
        <w:spacing w:after="60"/>
      </w:pPr>
      <w:r>
        <w:t xml:space="preserve">A: Cost, latency, and reliability for a demo environment. An LLM call adds API cost per query and non-zero latency, and can occasionally answer inconsistently. Since the actual questions being asked were bounded and predictable, I mapped them to fixed Supabase query patterns instead, so every answer is instant, free, and numerically guaranteed correct. I deliberately separated the retrieval layer from the response-wording layer, so upgrading to a real LLM later is a one-file change, not a rebuild.</w:t>
      </w:r>
    </w:p>
    <w:p>
      <w:pPr>
        <w:spacing w:after="60" w:before="160"/>
      </w:pPr>
      <w:r>
        <w:rPr>
          <w:b/>
          <w:bCs/>
        </w:rPr>
        <w:t xml:space="preserve">Q: How do you handle multi-tenant data isolation?</w:t>
      </w:r>
    </w:p>
    <w:p>
      <w:pPr>
        <w:spacing w:after="60"/>
      </w:pPr>
      <w:r>
        <w:t xml:space="preserve">A: At the database layer, not the application layer. Every table has Row Level Security policies tied to a current_org_id() helper function, so even if there were a bug in my frontend code, Postgres itself would refuse to return another organization's rows. I don't rely on the app to filter correctly — the database enforces it structurally.</w:t>
      </w:r>
    </w:p>
    <w:p>
      <w:pPr>
        <w:spacing w:after="60" w:before="160"/>
      </w:pPr>
      <w:r>
        <w:rPr>
          <w:b/>
          <w:bCs/>
        </w:rPr>
        <w:t xml:space="preserve">Q: What was the hardest technical bug you hit, and how did you fix it?</w:t>
      </w:r>
    </w:p>
    <w:p>
      <w:pPr>
        <w:spacing w:after="60"/>
      </w:pPr>
      <w:r>
        <w:t xml:space="preserve">A: A Turbopack static analysis failure from a top-level SheetJS import — it tried to bundle the library at build time in a way that broke. I fixed it by dynamically importing the library only inside the file upload handler, at the moment it's actually needed, instead of at the top of the file.</w:t>
      </w:r>
    </w:p>
    <w:p>
      <w:pPr>
        <w:spacing w:after="60" w:before="160"/>
      </w:pPr>
      <w:r>
        <w:rPr>
          <w:b/>
          <w:bCs/>
        </w:rPr>
        <w:t xml:space="preserve">Q: How did you approach mobile responsiveness?</w:t>
      </w:r>
    </w:p>
    <w:p>
      <w:pPr>
        <w:spacing w:after="60"/>
      </w:pPr>
      <w:r>
        <w:t xml:space="preserve">A: I found real device-specific bugs, not just breakpoint issues — backdrop-blur rendered inconsistently on Android, so I switched the mobile drawer to a solid background instead of relying on blur below a certain breakpoint. I also found a stacking-context bug where a menu overlay was painting above the drawer instead of behind it, fixed by grouping them under the same z-index context. And gradient buttons were rendering dark on dimmed phone screens, which I fixed by locking the gradient as an inline style so the browser couldn't reinterpret it under low-brightness color rendering.</w:t>
      </w:r>
    </w:p>
    <w:p>
      <w:pPr>
        <w:pStyle w:val="Heading2"/>
        <w:spacing w:after="100" w:before="200"/>
      </w:pPr>
      <w:r>
        <w:t xml:space="preserve">Product and Decision-Making</w:t>
      </w:r>
    </w:p>
    <w:p>
      <w:pPr>
        <w:spacing w:after="60" w:before="160"/>
      </w:pPr>
      <w:r>
        <w:rPr>
          <w:b/>
          <w:bCs/>
        </w:rPr>
        <w:t xml:space="preserve">Q: How did you decide what to build first?</w:t>
      </w:r>
    </w:p>
    <w:p>
      <w:pPr>
        <w:spacing w:after="60"/>
      </w:pPr>
      <w:r>
        <w:t xml:space="preserve">A: I worked backward from a defined set of acceptance criteria — 19 specific requirements the build needed to satisfy. I sequenced the 12 build stages so that each one unlocked the next: login before connectors, upload before validation, validation before dashboard, dashboard before the AI agent, since the AI agent needed real validated data to query against.</w:t>
      </w:r>
    </w:p>
    <w:p>
      <w:pPr>
        <w:spacing w:after="60" w:before="160"/>
      </w:pPr>
      <w:r>
        <w:rPr>
          <w:b/>
          <w:bCs/>
        </w:rPr>
        <w:t xml:space="preserve">Q: Tell me about a design decision you made and why.</w:t>
      </w:r>
    </w:p>
    <w:p>
      <w:pPr>
        <w:spacing w:after="60"/>
      </w:pPr>
      <w:r>
        <w:t xml:space="preserve">A: The AI agent's visual centerpiece. I rejected an early static crystalline icosahedron concept and instead specified an exploding data-constellation animation that expands outward when a question is asked and contracts back when the answer arrives — so the interface itself visually communicates 'thinking' and 'responding' without needing a loading spinner or text label.</w:t>
      </w:r>
    </w:p>
    <w:p>
      <w:pPr>
        <w:spacing w:after="60" w:before="160"/>
      </w:pPr>
      <w:r>
        <w:rPr>
          <w:b/>
          <w:bCs/>
        </w:rPr>
        <w:t xml:space="preserve">Q: What would you do differently if you rebuilt this?</w:t>
      </w:r>
    </w:p>
    <w:p>
      <w:pPr>
        <w:spacing w:after="60"/>
      </w:pPr>
      <w:r>
        <w:t xml:space="preserve">A: I'd wire up the production environment variables and do a full redeploy verification before calling any milestone done — I hit a login loop in production that traced back entirely to environment variables never being confirmed live, and it sat unresolved longer than it should have. Now I always treat 'deployed' and 'verified working in production' as two separate checkpoints, not one.</w:t>
      </w:r>
    </w:p>
    <w:p>
      <w:pPr>
        <w:spacing w:after="60" w:before="160"/>
      </w:pPr>
      <w:r>
        <w:rPr>
          <w:b/>
          <w:bCs/>
        </w:rPr>
        <w:t xml:space="preserve">Q: How do you decide what's in scope for a demo versus what's deferred?</w:t>
      </w:r>
    </w:p>
    <w:p>
      <w:pPr>
        <w:spacing w:after="60"/>
      </w:pPr>
      <w:r>
        <w:t xml:space="preserve">A: I separate 'must prove the concept works' from 'must be production-grade.' For example, WhatsApp delivery is fully built in the UI — settings, templates, live preview — but the actual Business API connection is deferred, since the goal was proving the workflow, not standing up a paid business messaging account for a demo.</w:t>
      </w:r>
    </w:p>
    <w:p>
      <w:pPr>
        <w:pStyle w:val="Heading2"/>
        <w:spacing w:after="100" w:before="200"/>
      </w:pPr>
      <w:r>
        <w:t xml:space="preserve">Process and Ways of Working</w:t>
      </w:r>
    </w:p>
    <w:p>
      <w:pPr>
        <w:spacing w:after="60" w:before="160"/>
      </w:pPr>
      <w:r>
        <w:rPr>
          <w:b/>
          <w:bCs/>
        </w:rPr>
        <w:t xml:space="preserve">Q: How do you work without an IDE like VS Code?</w:t>
      </w:r>
    </w:p>
    <w:p>
      <w:pPr>
        <w:spacing w:after="60"/>
      </w:pPr>
      <w:r>
        <w:t xml:space="preserve">A: I built this entire project using Windows cmd and Notepad, working with an AI pair-programmer that delivered complete files, which I extracted and ran locally. It forced a very deliberate workflow — I couldn't rely on inline IntelliSense or a debugger, so I got disciplined about reading error messages carefully and testing one change at a time.</w:t>
      </w:r>
    </w:p>
    <w:p>
      <w:pPr>
        <w:spacing w:after="60" w:before="160"/>
      </w:pPr>
      <w:r>
        <w:rPr>
          <w:b/>
          <w:bCs/>
        </w:rPr>
        <w:t xml:space="preserve">Q: How do you handle feedback or a gap being found in your own work?</w:t>
      </w:r>
    </w:p>
    <w:p>
      <w:pPr>
        <w:spacing w:after="60"/>
      </w:pPr>
      <w:r>
        <w:t xml:space="preserve">A: After I initially called Milestone 1 complete, a gap analysis surfaced six missing requirements — RBAC, audit logs, the WhatsApp screen, the demo data button, column mapping, and the AI-to-automation flow. I didn't treat that as a failure, I treated it as the process working as intended, and built all six before actually calling it done.</w:t>
      </w:r>
    </w:p>
    <w:p>
      <w:pPr>
        <w:spacing w:after="60" w:before="160"/>
      </w:pPr>
      <w:r>
        <w:rPr>
          <w:b/>
          <w:bCs/>
        </w:rPr>
        <w:t xml:space="preserve">Q: How do you approach debugging a production issue you can't reproduce locally?</w:t>
      </w:r>
    </w:p>
    <w:p>
      <w:pPr>
        <w:spacing w:after="60"/>
      </w:pPr>
      <w:r>
        <w:t xml:space="preserve">A: I isolate what's different between the two environments first, rather than guessing at the code. In this case, the app worked locally but hung in production — the difference was environment variables, since a local .env.local file never reaches a deployed Vercel build automatically. Once I framed it as an environment difference rather than a code bug, the fix was straightforward: add the variables to Vercel directly and force a clean redeploy.</w:t>
      </w:r>
    </w:p>
    <w:p>
      <w:pPr>
        <w:pStyle w:val="Heading2"/>
        <w:spacing w:after="100" w:before="200"/>
      </w:pPr>
      <w:r>
        <w:t xml:space="preserve">Behavioral / Ownership</w:t>
      </w:r>
    </w:p>
    <w:p>
      <w:pPr>
        <w:spacing w:after="60" w:before="160"/>
      </w:pPr>
      <w:r>
        <w:rPr>
          <w:b/>
          <w:bCs/>
        </w:rPr>
        <w:t xml:space="preserve">Q: What are you most proud of in this project?</w:t>
      </w:r>
    </w:p>
    <w:p>
      <w:pPr>
        <w:spacing w:after="60"/>
      </w:pPr>
      <w:r>
        <w:t xml:space="preserve">A: That I owned every layer of it — not just the code, but the design decisions, the animation direction, the data model, and the deployment. Nineteen out of nineteen acceptance criteria were met on a project I built essentially solo in two working days.</w:t>
      </w:r>
    </w:p>
    <w:p>
      <w:pPr>
        <w:spacing w:after="60" w:before="160"/>
      </w:pPr>
      <w:r>
        <w:rPr>
          <w:b/>
          <w:bCs/>
        </w:rPr>
        <w:t xml:space="preserve">Q: Why should we trust you to work independently?</w:t>
      </w:r>
    </w:p>
    <w:p>
      <w:pPr>
        <w:spacing w:after="60"/>
      </w:pPr>
      <w:r>
        <w:t xml:space="preserve">A: This project is the evidence. I made the architecture decisions, caught and fixed my own bugs across desktop and mobile, made and defended specific design calls instead of accepting defaults, and shipped a fully working, deployed product without a team around me.</w:t>
      </w:r>
    </w:p>
    <w:p>
      <w:pPr>
        <w:spacing w:before="300"/>
      </w:pPr>
    </w:p>
    <w:p>
      <w:pPr>
        <w:pBdr>
          <w:top w:val="single" w:color="444444" w:sz="6"/>
        </w:pBdr>
        <w:spacing w:before="200"/>
      </w:pPr>
      <w:r>
        <w:rPr>
          <w:color w:val="666666"/>
          <w:sz w:val="18"/>
          <w:szCs w:val="18"/>
        </w:rPr>
        <w:t xml:space="preserve">FluxorX | Interview Prep Guide | Faraz Akhtar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2026-07-10T13:18:14.342Z</dcterms:created>
  <dcterms:modified xsi:type="dcterms:W3CDTF">2026-07-10T13:18:14.359Z</dcterms:modified>
</cp:coreProperties>
</file>

<file path=docProps/custom.xml><?xml version="1.0" encoding="utf-8"?>
<Properties xmlns="http://schemas.openxmlformats.org/officeDocument/2006/custom-properties" xmlns:vt="http://schemas.openxmlformats.org/officeDocument/2006/docPropsVTypes"/>
</file>