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FluxorX — Scalability and Integration Brief</w:t>
      </w:r>
    </w:p>
    <w:p>
      <w:pPr>
        <w:spacing w:after="120"/>
      </w:pPr>
      <w:r>
        <w:rPr>
          <w:i/>
          <w:iCs/>
        </w:rPr>
        <w:t xml:space="preserve">A companion to the Interview Prep Guide — ready answers for scalability and “what else could be integrated” questions.</w:t>
      </w:r>
    </w:p>
    <w:p>
      <w:pPr>
        <w:pStyle w:val="Heading1"/>
        <w:spacing w:after="150" w:before="300"/>
      </w:pPr>
      <w:r>
        <w:t xml:space="preserve">Core Talking Point</w:t>
      </w:r>
    </w:p>
    <w:p>
      <w:pPr>
        <w:spacing w:after="60" w:before="160"/>
      </w:pPr>
      <w:r>
        <w:rPr>
          <w:b/>
          <w:bCs/>
        </w:rPr>
        <w:t xml:space="preserve">Q: Is this project scalable?</w:t>
      </w:r>
    </w:p>
    <w:p>
      <w:pPr>
        <w:spacing w:after="60"/>
      </w:pPr>
      <w:r>
        <w:t xml:space="preserve">A: Yes, and scalability was designed in from the schema up. Multi-tenancy is enforced at the database level through Row Level Security, so adding more organizations doesn't require new code — the isolation is structural. The connector architecture is also built as a repeatable pattern: every integration follows the same shape — OAuth token storage, a background fetch job, and a last_synced_at timestamp — so adding a new data source doesn't touch the validation, dashboard, AI, or email layers at all. And the AI layer itself is intentionally decoupled — the data-retrieval logic is separate from the response-wording logic, so swapping in a real LLM later is a one-file change, not an architecture rewrite.</w:t>
      </w:r>
    </w:p>
    <w:p>
      <w:pPr>
        <w:pStyle w:val="Heading1"/>
        <w:spacing w:after="150" w:before="300"/>
      </w:pPr>
      <w:r>
        <w:t xml:space="preserve">What Specifically Makes It Scalable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Database-enforced multi-tenancy: Row Level Security policies tied to current_org_id() mean isolation is guaranteed by Postgres itself, not by application code that could have a bug.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Repeatable connector pattern: every new data source (OAuth token, fetch job, sync timestamp) plugs into the same raw_records pipeline without touching downstream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Decoupled AI layer: retrieval (Supabase queries) is separate from response composition, so the reasoning engine can be swapped or upgraded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Decoupled frontend/backend: Next.js API routes and Supabase form a clean backend boundary, so a completely different frontend (mobile app, another web client) could reuse the same backend with no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Code-split heavy components: Three.js and Recharts are dynamically imported, so adding more visual complexity later doesn't degrade initial load time.</w:t>
      </w:r>
    </w:p>
    <w:p>
      <w:pPr>
        <w:pStyle w:val="Heading1"/>
        <w:spacing w:after="150" w:before="300"/>
      </w:pPr>
      <w:r>
        <w:t xml:space="preserve">What Else Could Be Integrated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Addition</w:t>
            </w:r>
          </w:p>
        </w:tc>
        <w:tc>
          <w:tcPr>
            <w:tcW w:type="dxa" w:w="6750"/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Why it fits naturally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More connectors (Xero, HubSpot, Salesforce, Tally, SAP)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</w:rPr>
              <w:t xml:space="preserve">Already scaffolded as “Coming Soon” cards in the UI; QuickBooks and Google Sheets are next in line using the existing OAuth + fetch-job pattern.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Slack / Microsoft Teams notifications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</w:rPr>
              <w:t xml:space="preserve">Same automation-delivery pattern as email and WhatsApp — just a new channel plugged into the existing approval and audit-log flow.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Scheduled / recurring reports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</w:rPr>
              <w:t xml:space="preserve">The automation engine already supports schedule creation via AI chat; extending to daily or weekly recurring jobs is a natural next step, not new architecture.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Multi-language support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</w:rPr>
              <w:t xml:space="preserve">AI responses are template-composed, not free-form LLM text, so adding languages is a translation layer on top of existing templates, not a rebuild.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Real LLM upgrade (Claude API)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</w:rPr>
              <w:t xml:space="preserve">Retrieval and wording are already separated in src/lib/agent.ts, so this becomes a single-file swap for more open-ended, conversational querying beyond the current 8 intent patterns.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Mobile app (React Native)</w:t>
            </w:r>
          </w:p>
        </w:tc>
        <w:tc>
          <w:tcPr>
            <w:tcW w:type="dxa" w:w="6750"/>
          </w:tcPr>
          <w:p>
            <w:r>
              <w:rPr>
                <w:b w:val="false"/>
                <w:bCs w:val="false"/>
                <w:color w:val="000000"/>
              </w:rPr>
              <w:t xml:space="preserve">The API layer (Supabase + Next.js API routes) is already decoupled from the frontend, so a mobile client could call the same backend with no changes.</w:t>
            </w:r>
          </w:p>
        </w:tc>
      </w:tr>
    </w:tbl>
    <w:p>
      <w:pPr>
        <w:spacing w:before="300"/>
      </w:pPr>
    </w:p>
    <w:p>
      <w:pPr>
        <w:pBdr>
          <w:top w:val="single" w:color="444444" w:sz="6"/>
        </w:pBdr>
        <w:spacing w:before="200"/>
      </w:pPr>
      <w:r>
        <w:rPr>
          <w:color w:val="666666"/>
          <w:sz w:val="18"/>
          <w:szCs w:val="18"/>
        </w:rPr>
        <w:t xml:space="preserve">FluxorX | Scalability and Integration Brief | Faraz Akhtar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2026-07-10T13:22:03.318Z</dcterms:created>
  <dcterms:modified xsi:type="dcterms:W3CDTF">2026-07-10T13:22:03.336Z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