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3A68"/>
          <w:sz w:val="20"/>
        </w:rPr>
        <w:t>ITOPS  |  IT OPERATIONS</w:t>
      </w:r>
    </w:p>
    <w:p>
      <w:r>
        <w:rPr>
          <w:color w:val="1F3A68"/>
        </w:rPr>
        <w:t>_____________________________________________________________________________________</w:t>
      </w:r>
    </w:p>
    <w:p/>
    <w:p/>
    <w:p/>
    <w:p>
      <w:pPr>
        <w:jc w:val="left"/>
      </w:pPr>
      <w:r>
        <w:rPr>
          <w:b/>
          <w:color w:val="1F3A68"/>
          <w:sz w:val="56"/>
        </w:rPr>
        <w:t>DEBSMSF</w:t>
      </w:r>
    </w:p>
    <w:p>
      <w:r>
        <w:rPr>
          <w:b/>
          <w:color w:val="1F3A68"/>
          <w:sz w:val="40"/>
        </w:rPr>
        <w:t>System Architecture</w:t>
      </w:r>
    </w:p>
    <w:p>
      <w:r>
        <w:rPr>
          <w:i/>
          <w:color w:val="555555"/>
          <w:sz w:val="24"/>
        </w:rPr>
        <w:t>Logical, physical and integration architecture of the</w:t>
        <w:br/>
        <w:t>SMSF / RHL / SOURCE loan origination platform.</w:t>
      </w:r>
    </w:p>
    <w:p/>
    <w:p/>
    <w:p/>
    <w:p/>
    <w:p/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</w:tcPr>
          <w:p>
            <w:r>
              <w:rPr>
                <w:b/>
                <w:color w:val="1F3A68"/>
                <w:sz w:val="20"/>
              </w:rPr>
            </w:r>
            <w:r>
              <w:rPr>
                <w:b/>
                <w:color w:val="1F3A68"/>
                <w:sz w:val="20"/>
              </w:rPr>
              <w:t>Document ID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</w:r>
            <w:r>
              <w:rPr>
                <w:sz w:val="20"/>
              </w:rPr>
              <w:t>ITOPS-ARCH-2026-001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color w:val="1F3A68"/>
                <w:sz w:val="20"/>
              </w:rPr>
            </w:r>
            <w:r>
              <w:rPr>
                <w:b/>
                <w:color w:val="1F3A68"/>
                <w:sz w:val="20"/>
              </w:rPr>
              <w:t>Version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color w:val="1F3A68"/>
                <w:sz w:val="20"/>
              </w:rPr>
            </w:r>
            <w:r>
              <w:rPr>
                <w:b/>
                <w:color w:val="1F3A68"/>
                <w:sz w:val="20"/>
              </w:rPr>
              <w:t>Classification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</w:r>
            <w:r>
              <w:rPr>
                <w:sz w:val="20"/>
              </w:rPr>
              <w:t>Internal — IT Operations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color w:val="1F3A68"/>
                <w:sz w:val="20"/>
              </w:rPr>
            </w:r>
            <w:r>
              <w:rPr>
                <w:b/>
                <w:color w:val="1F3A68"/>
                <w:sz w:val="20"/>
              </w:rPr>
              <w:t>Status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</w:r>
            <w:r>
              <w:rPr>
                <w:sz w:val="20"/>
              </w:rPr>
              <w:t>Draft for Approval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color w:val="1F3A68"/>
                <w:sz w:val="20"/>
              </w:rPr>
            </w:r>
            <w:r>
              <w:rPr>
                <w:b/>
                <w:color w:val="1F3A68"/>
                <w:sz w:val="20"/>
              </w:rPr>
              <w:t>Date issued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</w:r>
            <w:r>
              <w:rPr>
                <w:sz w:val="20"/>
              </w:rPr>
              <w:t>2026-04-20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color w:val="1F3A68"/>
                <w:sz w:val="20"/>
              </w:rPr>
            </w:r>
            <w:r>
              <w:rPr>
                <w:b/>
                <w:color w:val="1F3A68"/>
                <w:sz w:val="20"/>
              </w:rPr>
              <w:t>Prepared for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</w:r>
            <w:r>
              <w:rPr>
                <w:sz w:val="20"/>
              </w:rPr>
              <w:t>Josh (Executive Sponsor)</w:t>
            </w:r>
          </w:p>
        </w:tc>
      </w:tr>
    </w:tbl>
    <w:p>
      <w:r>
        <w:br w:type="page"/>
      </w:r>
    </w:p>
    <w:p>
      <w:r>
        <w:rPr>
          <w:b/>
        </w:rPr>
        <w:t>Document ID:</w:t>
      </w:r>
      <w:r>
        <w:t xml:space="preserve"> ITOPS-ARCH-2026-001 </w:t>
      </w:r>
      <w:r>
        <w:rPr>
          <w:b/>
        </w:rPr>
        <w:t>Version:</w:t>
      </w:r>
      <w:r>
        <w:t xml:space="preserve"> 1.0 </w:t>
      </w:r>
      <w:r>
        <w:rPr>
          <w:b/>
        </w:rPr>
        <w:t>Classification:</w:t>
      </w:r>
      <w:r>
        <w:t xml:space="preserve"> Internal — IT Operations </w:t>
      </w:r>
      <w:r>
        <w:rPr>
          <w:b/>
        </w:rPr>
        <w:t>Prepared by:</w:t>
      </w:r>
      <w:r>
        <w:t xml:space="preserve"> ITOPS Engineering </w:t>
      </w:r>
      <w:r>
        <w:rPr>
          <w:b/>
        </w:rPr>
        <w:t>Prepared for:</w:t>
      </w:r>
      <w:r>
        <w:t xml:space="preserve"> Josh (Executive Sponsor) </w:t>
      </w:r>
      <w:r>
        <w:rPr>
          <w:b/>
        </w:rPr>
        <w:t>Status:</w:t>
      </w:r>
      <w:r>
        <w:t xml:space="preserve"> Draft for Approval </w:t>
      </w:r>
      <w:r>
        <w:rPr>
          <w:b/>
        </w:rPr>
        <w:t>Date issued:</w:t>
      </w:r>
      <w:r>
        <w:t xml:space="preserve"> 2026-04-20 &lt;!-- ITOPS-HEADER-END --&gt;</w:t>
      </w:r>
    </w:p>
    <w:p>
      <w:r>
        <w:rPr>
          <w:color w:val="555555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rPr>
          <w:color w:val="1F3A68"/>
        </w:rPr>
        <w:t>DEBSMSF — System Architecture</w:t>
      </w:r>
    </w:p>
    <w:p>
      <w:pPr>
        <w:pStyle w:val="Heading2"/>
      </w:pPr>
      <w:r>
        <w:rPr>
          <w:color w:val="1F3A68"/>
        </w:rPr>
        <w:t>Document Control</w:t>
      </w:r>
    </w:p>
    <w:p>
      <w:pPr>
        <w:pStyle w:val="Heading3"/>
      </w:pPr>
      <w:r>
        <w:rPr>
          <w:color w:val="1F3A68"/>
        </w:rPr>
        <w:t>Version History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F3A68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436"/>
            <w:shd w:val="clear" w:color="auto" w:fill="1F3A68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436"/>
            <w:shd w:val="clear" w:color="auto" w:fill="1F3A68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436"/>
            <w:shd w:val="clear" w:color="auto" w:fill="1F3A68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 of change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2026-04-20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ITOPS Engineering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Initial architecture baseline issued.</w:t>
            </w:r>
          </w:p>
        </w:tc>
      </w:tr>
    </w:tbl>
    <w:p/>
    <w:p>
      <w:pPr>
        <w:pStyle w:val="Heading3"/>
      </w:pPr>
      <w:r>
        <w:rPr>
          <w:color w:val="1F3A68"/>
        </w:rPr>
        <w:t>Review &amp; Approval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F3A68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2436"/>
            <w:shd w:val="clear" w:color="auto" w:fill="1F3A68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type="dxa" w:w="2436"/>
            <w:shd w:val="clear" w:color="auto" w:fill="1F3A68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Signature</w:t>
            </w:r>
          </w:p>
        </w:tc>
        <w:tc>
          <w:tcPr>
            <w:tcW w:type="dxa" w:w="2436"/>
            <w:shd w:val="clear" w:color="auto" w:fill="1F3A68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Author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ITOPS Engineering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2026-04-20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Technical Reviewer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_____________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__________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Executive Sponsor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Josh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__________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IT Operations Lead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_____________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__________</w:t>
            </w:r>
          </w:p>
        </w:tc>
      </w:tr>
    </w:tbl>
    <w:p/>
    <w:p>
      <w:pPr>
        <w:pStyle w:val="Heading3"/>
      </w:pPr>
      <w:r>
        <w:rPr>
          <w:color w:val="1F3A68"/>
        </w:rPr>
        <w:t>Distribution List</w:t>
      </w:r>
    </w:p>
    <w:p>
      <w:pPr>
        <w:pStyle w:val="ListBullet"/>
      </w:pPr>
      <w:r>
        <w:t>Executive Sponsor (Josh)</w:t>
      </w:r>
    </w:p>
    <w:p>
      <w:pPr>
        <w:pStyle w:val="ListBullet"/>
      </w:pPr>
      <w:r>
        <w:t>IT Operations</w:t>
      </w:r>
    </w:p>
    <w:p>
      <w:pPr>
        <w:pStyle w:val="ListBullet"/>
      </w:pPr>
      <w:r>
        <w:t>Engineering Leads (Backend, Integrations)</w:t>
      </w:r>
    </w:p>
    <w:p>
      <w:pPr>
        <w:pStyle w:val="ListBullet"/>
      </w:pPr>
      <w:r>
        <w:t>Security &amp; Compliance</w:t>
      </w:r>
    </w:p>
    <w:p>
      <w:pPr>
        <w:pStyle w:val="ListBullet"/>
      </w:pPr>
      <w:r>
        <w:t>Product Management</w:t>
      </w:r>
    </w:p>
    <w:p>
      <w:pPr>
        <w:pStyle w:val="Heading3"/>
      </w:pPr>
      <w:r>
        <w:rPr>
          <w:color w:val="1F3A68"/>
        </w:rPr>
        <w:t>Related Documents</w:t>
      </w:r>
    </w:p>
    <w:p>
      <w:pPr>
        <w:pStyle w:val="ListBullet"/>
      </w:pPr>
      <w:r>
        <w:rPr>
          <w:rFonts w:ascii="Consolas" w:hAnsi="Consolas"/>
          <w:sz w:val="18"/>
        </w:rPr>
        <w:t>docs/project-overview-pdr.md</w:t>
      </w:r>
      <w:r>
        <w:t xml:space="preserve"> — Product Development Requirements</w:t>
      </w:r>
    </w:p>
    <w:p>
      <w:pPr>
        <w:pStyle w:val="ListBullet"/>
      </w:pPr>
      <w:r>
        <w:rPr>
          <w:rFonts w:ascii="Consolas" w:hAnsi="Consolas"/>
          <w:sz w:val="18"/>
        </w:rPr>
        <w:t>docs/codebase-summary.md</w:t>
      </w:r>
      <w:r>
        <w:t xml:space="preserve"> — Codebase structure</w:t>
      </w:r>
    </w:p>
    <w:p>
      <w:pPr>
        <w:pStyle w:val="ListBullet"/>
      </w:pPr>
      <w:r>
        <w:rPr>
          <w:rFonts w:ascii="Consolas" w:hAnsi="Consolas"/>
          <w:sz w:val="18"/>
        </w:rPr>
        <w:t>docs/deployment-guide.md</w:t>
      </w:r>
      <w:r>
        <w:t xml:space="preserve"> — Deployment runbook</w:t>
      </w:r>
    </w:p>
    <w:p>
      <w:pPr>
        <w:pStyle w:val="ListBullet"/>
      </w:pPr>
      <w:r>
        <w:rPr>
          <w:rFonts w:ascii="Consolas" w:hAnsi="Consolas"/>
          <w:sz w:val="18"/>
        </w:rPr>
        <w:t>docs/code-standards.md</w:t>
      </w:r>
      <w:r>
        <w:t xml:space="preserve"> — Engineering standards</w:t>
      </w:r>
    </w:p>
    <w:p>
      <w:r>
        <w:rPr>
          <w:color w:val="555555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F3A68"/>
        </w:rPr>
        <w:t>1. Executive Summary</w:t>
      </w:r>
    </w:p>
    <w:p>
      <w:r>
        <w:rPr>
          <w:b/>
        </w:rPr>
        <w:t>DEBSMSF</w:t>
      </w:r>
      <w:r>
        <w:t xml:space="preserve"> is an enterprise-grade loan origination and SMSF (Self-Managed Super Fund) lending platform serving the Australian market. It automates the end-to-end application journey from broker submission through credit assessment, AI-assisted document extraction, e-signing, to settlement. Core products supported: </w:t>
      </w:r>
      <w:r>
        <w:rPr>
          <w:b/>
        </w:rPr>
        <w:t>RHL</w:t>
      </w:r>
      <w:r>
        <w:t xml:space="preserve"> (Reduce Home Loan), </w:t>
      </w:r>
      <w:r>
        <w:rPr>
          <w:b/>
        </w:rPr>
        <w:t>SMSF lending</w:t>
      </w:r>
      <w:r>
        <w:t xml:space="preserve">, and </w:t>
      </w:r>
      <w:r>
        <w:rPr>
          <w:b/>
        </w:rPr>
        <w:t>SOURCE</w:t>
      </w:r>
      <w:r>
        <w:t xml:space="preserve"> (non-conforming).</w:t>
      </w:r>
    </w:p>
    <w:p>
      <w:r>
        <w:t>The platform is implemented as a modular ASP.NET Core API layered on Entity Framework Core, backed by SQL Server and PostgreSQL. Business rules are data-driven through 100+ configuration entities, cached in-memory for low-latency decisioning. External integrations include Equifax (credit bureau), DocuSign (e-sign), Google/Azure Document AI (OCR), Zoho CRM, Twilio (SMS), and SendGrid (email).</w:t>
      </w:r>
    </w:p>
    <w:p>
      <w:r>
        <w:t>This document describes the logical and physical architecture, component responsibilities, data flow, external integrations, deployment topology, and non-functional characteristics (security, compliance, performance).</w:t>
      </w:r>
    </w:p>
    <w:p>
      <w:r>
        <w:rPr>
          <w:color w:val="555555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F3A68"/>
        </w:rPr>
        <w:t>2. Business Context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3A68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Aspect</w:t>
            </w:r>
          </w:p>
        </w:tc>
        <w:tc>
          <w:tcPr>
            <w:tcW w:type="dxa" w:w="4873"/>
            <w:shd w:val="clear" w:color="auto" w:fill="1F3A68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Product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Loan origination platform for Australian SMSF and residential lending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Primary users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Brokers, Credit Officers, Settlement Officers, Administrators, Applicants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Lenders served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Multiple funders via configurable rules (Source, Mezy/Capitaliser, Well Nigh, MA Money, +)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Loan products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RHL (Reduce Home Loan), SMSF, SOURCE (non-conforming)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Regulatory context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Australian responsible lending (NCCP Act), AML/CTF, Privacy Act, SMSF/SIS Act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Multi-tenancy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White-labelled companies via </w:t>
            </w:r>
            <w:r>
              <w:rPr>
                <w:rFonts w:ascii="Consolas" w:hAnsi="Consolas"/>
                <w:sz w:val="20"/>
              </w:rPr>
              <w:t>ConfigWhiteLabelledCompany</w:t>
            </w:r>
          </w:p>
        </w:tc>
      </w:tr>
    </w:tbl>
    <w:p/>
    <w:p>
      <w:r>
        <w:rPr>
          <w:color w:val="555555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F3A68"/>
        </w:rPr>
        <w:t>3. Architecture Principles</w:t>
      </w:r>
    </w:p>
    <w:p>
      <w:pPr>
        <w:pStyle w:val="ListNumber"/>
      </w:pPr>
      <w:r>
        <w:rPr>
          <w:b/>
        </w:rPr>
        <w:t>Data-driven business rules</w:t>
      </w:r>
      <w:r>
        <w:t xml:space="preserve"> — all lender rules, LVR matrices, checklist requirements, approval conditions are stored as </w:t>
      </w:r>
      <w:r>
        <w:rPr>
          <w:rFonts w:ascii="Consolas" w:hAnsi="Consolas"/>
          <w:sz w:val="18"/>
        </w:rPr>
        <w:t>Config*</w:t>
      </w:r>
      <w:r>
        <w:t xml:space="preserve"> entities, not hard-coded.</w:t>
      </w:r>
    </w:p>
    <w:p>
      <w:pPr>
        <w:pStyle w:val="ListNumber"/>
      </w:pPr>
      <w:r>
        <w:rPr>
          <w:b/>
        </w:rPr>
        <w:t>Clear layer separation</w:t>
      </w:r>
      <w:r>
        <w:t xml:space="preserve"> — Controllers → Services → Repositories → EF Core → Database.</w:t>
      </w:r>
    </w:p>
    <w:p>
      <w:pPr>
        <w:pStyle w:val="ListNumber"/>
      </w:pPr>
      <w:r>
        <w:rPr>
          <w:b/>
        </w:rPr>
        <w:t>Stateless API instances</w:t>
      </w:r>
      <w:r>
        <w:t xml:space="preserve"> — horizontal scale behind a load balancer; shared state lives in DB and (future) distributed cache.</w:t>
      </w:r>
    </w:p>
    <w:p>
      <w:pPr>
        <w:pStyle w:val="ListNumber"/>
      </w:pPr>
      <w:r>
        <w:rPr>
          <w:b/>
        </w:rPr>
        <w:t>Integration via adapters</w:t>
      </w:r>
      <w:r>
        <w:t xml:space="preserve"> — each external service (Equifax, DocuSign, DoxAI, Zoho, Twilio, SendGrid) has a dedicated service class isolating SDK/API details.</w:t>
      </w:r>
    </w:p>
    <w:p>
      <w:pPr>
        <w:pStyle w:val="ListNumber"/>
      </w:pPr>
      <w:r>
        <w:rPr>
          <w:b/>
        </w:rPr>
        <w:t>Async-first</w:t>
      </w:r>
      <w:r>
        <w:t xml:space="preserve"> — long-running work (report generation, calculator jobs, bulk emails) is offloaded to background engines or the Windows Support App.</w:t>
      </w:r>
    </w:p>
    <w:p>
      <w:pPr>
        <w:pStyle w:val="ListNumber"/>
      </w:pPr>
      <w:r>
        <w:rPr>
          <w:b/>
        </w:rPr>
        <w:t>Audit by default</w:t>
      </w:r>
      <w:r>
        <w:t xml:space="preserve"> — application state transitions logged (</w:t>
      </w:r>
      <w:r>
        <w:rPr>
          <w:rFonts w:ascii="Consolas" w:hAnsi="Consolas"/>
          <w:sz w:val="18"/>
        </w:rPr>
        <w:t>Log_*</w:t>
      </w:r>
      <w:r>
        <w:t xml:space="preserve"> entities); change tracking at entity level.</w:t>
      </w:r>
    </w:p>
    <w:p>
      <w:r>
        <w:rPr>
          <w:color w:val="555555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F3A68"/>
        </w:rPr>
        <w:t>4. High-Level Component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3717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717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Figure 1.</w:t>
      </w:r>
    </w:p>
    <w:p>
      <w:r>
        <w:rPr>
          <w:color w:val="555555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F3A68"/>
        </w:rPr>
        <w:t>5. Solution &amp; Project Structure</w:t>
      </w:r>
    </w:p>
    <w:p>
      <w:r>
        <w:t>The repository contains three independent .NET solutions deployed as separate artifacts.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1405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140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Figure 2.</w:t>
      </w:r>
    </w:p>
    <w:p>
      <w:r>
        <w:rPr>
          <w:b/>
        </w:rPr>
        <w:t>Project file counts</w:t>
      </w:r>
      <w:r>
        <w:t xml:space="preserve"> (C# source files):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F3A68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Solution</w:t>
            </w:r>
          </w:p>
        </w:tc>
        <w:tc>
          <w:tcPr>
            <w:tcW w:type="dxa" w:w="2436"/>
            <w:shd w:val="clear" w:color="auto" w:fill="1F3A68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Project</w:t>
            </w:r>
          </w:p>
        </w:tc>
        <w:tc>
          <w:tcPr>
            <w:tcW w:type="dxa" w:w="2436"/>
            <w:shd w:val="clear" w:color="auto" w:fill="1F3A68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Files</w:t>
            </w:r>
          </w:p>
        </w:tc>
        <w:tc>
          <w:tcPr>
            <w:tcW w:type="dxa" w:w="2436"/>
            <w:shd w:val="clear" w:color="auto" w:fill="1F3A68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Framework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SOURCE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SMSFWebAPI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208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ASP.NET Core 9.0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SOURCE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SMSFWebAPI.Core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702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.NET 9.0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SOURCE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SMSFWebAPI.Shared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1,080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.NET 9.0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SOURCE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SMSFWebAPI.DataShared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27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.NET 9.0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SOURCE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Ezy.Module.DocuSign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2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.NET 9.0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DEB_SHARED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SMSFWebAPI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174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ASP.NET Core 5.0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DEB_SHARED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SMSFWebAPI.Core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604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.NET 5.0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DEB_SHARED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SMSFWebAPI.Shared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861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.NET 5.0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DEB_SHARED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SMSFWebAPI.DataShared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26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.NET 5.0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DEB_SHARED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DEBSharedAPI.Address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ASP.NET Core 5.0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SOURCE_SUPPORT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SMSFSupportWinApp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~50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.NET Framework 4.7.2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Total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~3,737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</w:p>
        </w:tc>
      </w:tr>
    </w:tbl>
    <w:p/>
    <w:p>
      <w:r>
        <w:rPr>
          <w:color w:val="555555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F3A68"/>
        </w:rPr>
        <w:t>6. Logical Layer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63985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398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Figure 3.</w:t>
      </w:r>
    </w:p>
    <w:p>
      <w:r>
        <w:rPr>
          <w:b/>
        </w:rPr>
        <w:t>Layer responsibilities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3A68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type="dxa" w:w="3249"/>
            <w:shd w:val="clear" w:color="auto" w:fill="1F3A68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  <w:tc>
          <w:tcPr>
            <w:tcW w:type="dxa" w:w="3249"/>
            <w:shd w:val="clear" w:color="auto" w:fill="1F3A68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Location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Controllers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HTTP request routing, model binding, </w:t>
            </w:r>
            <w:r>
              <w:rPr>
                <w:rFonts w:ascii="Consolas" w:hAnsi="Consolas"/>
                <w:sz w:val="20"/>
              </w:rPr>
              <w:t>[Authorize]</w:t>
            </w:r>
            <w:r>
              <w:rPr>
                <w:sz w:val="20"/>
              </w:rPr>
              <w:t xml:space="preserve"> enforcement, DTO mapping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SMSFWebAPI/Controllers/**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SignalR Hub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Push real-time notifications to connected clients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NotificationHub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Services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Business workflow orchestration, integration calls, transaction scoping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SMSFWebAPI.Shared/Services/**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Helpers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Reusable pure-ish utilities (validation, email composition, encryption, calculators)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SMSFWebAPI.Shared/Helper/**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Engines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Background / scheduled workloads (batch, keepalive, email queue flush)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SMSFWebAPI.Shared/Engines/**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Repositories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Data access abstraction (limited usage; most services call EF directly)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SMSFWebAPI.Core/Repository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EF Core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O/R mapping, migrations, LINQ queries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SMSFWebAPI.Core/Data/**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Cache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In-memory lookup of </w:t>
            </w:r>
            <w:r>
              <w:rPr>
                <w:rFonts w:ascii="Consolas" w:hAnsi="Consolas"/>
                <w:sz w:val="20"/>
              </w:rPr>
              <w:t>Config*</w:t>
            </w:r>
            <w:r>
              <w:rPr>
                <w:sz w:val="20"/>
              </w:rPr>
              <w:t xml:space="preserve"> entities; refreshed on startup + on-demand invalidation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DataInfo/Cached/**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Constants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Enums, code lookups, base DTOs shared across assemblies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SMSFWebAPI.DataShared/**</w:t>
            </w:r>
          </w:p>
        </w:tc>
      </w:tr>
    </w:tbl>
    <w:p/>
    <w:p>
      <w:r>
        <w:rPr>
          <w:color w:val="555555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F3A68"/>
        </w:rPr>
        <w:t>7. Loan Application Data Flow (End-to-End)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43966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39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Figure 4.</w:t>
      </w:r>
    </w:p>
    <w:p>
      <w:r>
        <w:rPr>
          <w:color w:val="555555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F3A68"/>
        </w:rPr>
        <w:t>8. Database Architecture</w:t>
      </w:r>
    </w:p>
    <w:p>
      <w:pPr>
        <w:pStyle w:val="Heading3"/>
      </w:pPr>
      <w:r>
        <w:rPr>
          <w:color w:val="1F3A68"/>
        </w:rPr>
        <w:t>8.1 DbContexts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3A68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Context</w:t>
            </w:r>
          </w:p>
        </w:tc>
        <w:tc>
          <w:tcPr>
            <w:tcW w:type="dxa" w:w="3249"/>
            <w:shd w:val="clear" w:color="auto" w:fill="1F3A68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Database</w:t>
            </w:r>
          </w:p>
        </w:tc>
        <w:tc>
          <w:tcPr>
            <w:tcW w:type="dxa" w:w="3249"/>
            <w:shd w:val="clear" w:color="auto" w:fill="1F3A68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Scope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ESCDataContext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SQL Server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Primary loan domain: applications, applicants, loans, securities, households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AppSystemEntities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SQL Server / PostgreSQL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Staff, user login, email templates, system config, audit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CategoryEntities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PostgreSQL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Lookup &amp; configuration data (funders, postcodes, loan purposes, property types)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AppAddressEntities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PostgreSQL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Australian address reference, geocoding history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AppDataEntities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SQL Server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Dynamic data entity definitions &amp; validation metadata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ChecklistEntities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SQL Server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Document / credit / AI checklists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DocAIEntities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SQL Server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DoxAI templates, extraction logs</w:t>
            </w:r>
          </w:p>
        </w:tc>
      </w:tr>
    </w:tbl>
    <w:p/>
    <w:p>
      <w:pPr>
        <w:pStyle w:val="Heading3"/>
      </w:pPr>
      <w:r>
        <w:rPr>
          <w:color w:val="1F3A68"/>
        </w:rPr>
        <w:t>8.2 Core Domain Entity Map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69882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98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Figure 5.</w:t>
      </w:r>
    </w:p>
    <w:p>
      <w:pPr>
        <w:pStyle w:val="Heading3"/>
      </w:pPr>
      <w:r>
        <w:rPr>
          <w:color w:val="1F3A68"/>
        </w:rPr>
        <w:t>8.3 Configuration-as-Data</w:t>
      </w:r>
    </w:p>
    <w:p>
      <w:r>
        <w:t xml:space="preserve">Over 100 </w:t>
      </w:r>
      <w:r>
        <w:rPr>
          <w:rFonts w:ascii="Consolas" w:hAnsi="Consolas"/>
          <w:sz w:val="18"/>
        </w:rPr>
        <w:t>Config*</w:t>
      </w:r>
      <w:r>
        <w:t xml:space="preserve"> tables encode business rules (approval conditions, LVR matrix, document requirements, funder-specific overrides). Each </w:t>
      </w:r>
      <w:r>
        <w:rPr>
          <w:rFonts w:ascii="Consolas" w:hAnsi="Consolas"/>
          <w:sz w:val="18"/>
        </w:rPr>
        <w:t>Config*</w:t>
      </w:r>
      <w:r>
        <w:t xml:space="preserve"> entity has a matching </w:t>
      </w:r>
      <w:r>
        <w:rPr>
          <w:rFonts w:ascii="Consolas" w:hAnsi="Consolas"/>
          <w:sz w:val="18"/>
        </w:rPr>
        <w:t>CachedDataManagement_*</w:t>
      </w:r>
      <w:r>
        <w:t xml:space="preserve"> class that lazy-loads and caches the full table, with explicit cache invalidation on mutation.</w:t>
      </w:r>
    </w:p>
    <w:p>
      <w:r>
        <w:rPr>
          <w:color w:val="555555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F3A68"/>
        </w:rPr>
        <w:t>9. External Integration Topology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439553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4395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Figure 6.</w:t>
      </w:r>
    </w:p>
    <w:p>
      <w:pPr>
        <w:pStyle w:val="Heading3"/>
      </w:pPr>
      <w:r>
        <w:rPr>
          <w:color w:val="1F3A68"/>
        </w:rPr>
        <w:t>Integration inventory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F3A68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Integration</w:t>
            </w:r>
          </w:p>
        </w:tc>
        <w:tc>
          <w:tcPr>
            <w:tcW w:type="dxa" w:w="2436"/>
            <w:shd w:val="clear" w:color="auto" w:fill="1F3A68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2436"/>
            <w:shd w:val="clear" w:color="auto" w:fill="1F3A68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Protocol</w:t>
            </w:r>
          </w:p>
        </w:tc>
        <w:tc>
          <w:tcPr>
            <w:tcW w:type="dxa" w:w="2436"/>
            <w:shd w:val="clear" w:color="auto" w:fill="1F3A68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Library / Endpoint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Equifax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Credit bureau / CCR enquiry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REST (XML)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B2BEquifaxSearchTypes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B2BEquifaxCreditEnquiryType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DocuSign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Loan document e-signing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REST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DocuSign.eSign</w:t>
            </w:r>
            <w:r>
              <w:rPr>
                <w:sz w:val="20"/>
              </w:rPr>
              <w:t xml:space="preserve"> SDK v6.6.0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Google DocumentAI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OCR / field extraction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REST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Google Cloud SDK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Azure Document Intelligence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OCR alternative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REST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Azure.AI.DocumentIntelligence</w:t>
            </w:r>
            <w:r>
              <w:rPr>
                <w:sz w:val="20"/>
              </w:rPr>
              <w:t xml:space="preserve"> 1.0.0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Zoho CRM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Lead / opportunity webhooks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Webhook + REST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RHLZohoWebhookLogDataService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Twilio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SMS OTP / notifications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REST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Twilio SDK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SendGrid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Transactional email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REST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Logged via </w:t>
            </w:r>
            <w:r>
              <w:rPr>
                <w:rFonts w:ascii="Consolas" w:hAnsi="Consolas"/>
                <w:sz w:val="20"/>
              </w:rPr>
              <w:t>Log_SendGrid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Google Sheets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BC Invest postcode + broker pricing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REST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Google.Apis.Sheets.v4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Google OAuth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Social login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OpenID Connect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ASP.NET social auth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Facebook OAuth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Social login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OpenID Connect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ASP.NET social auth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ID Card Readers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AU state driver licenses + 11 passports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DLL (on-prem)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DEB.DriverReader.AUS.*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DEB.PassportReader.*</w:t>
            </w:r>
          </w:p>
        </w:tc>
      </w:tr>
    </w:tbl>
    <w:p/>
    <w:p>
      <w:r>
        <w:rPr>
          <w:color w:val="555555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F3A68"/>
        </w:rPr>
        <w:t>10. Authentication, Authorization &amp; Security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64684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468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Figure 7.</w:t>
      </w:r>
    </w:p>
    <w:p>
      <w:pPr>
        <w:pStyle w:val="Heading3"/>
      </w:pPr>
      <w:r>
        <w:rPr>
          <w:color w:val="1F3A68"/>
        </w:rPr>
        <w:t>Security controls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3A68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Control</w:t>
            </w:r>
          </w:p>
        </w:tc>
        <w:tc>
          <w:tcPr>
            <w:tcW w:type="dxa" w:w="4873"/>
            <w:shd w:val="clear" w:color="auto" w:fill="1F3A68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Implementation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Transport security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HTTPS/TLS enforced at LB / IIS; </w:t>
            </w:r>
            <w:r>
              <w:rPr>
                <w:rFonts w:ascii="Consolas" w:hAnsi="Consolas"/>
                <w:sz w:val="20"/>
              </w:rPr>
              <w:t>X-Forwarded-Proto</w:t>
            </w:r>
            <w:r>
              <w:rPr>
                <w:sz w:val="20"/>
              </w:rPr>
              <w:t xml:space="preserve"> honoured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Authentication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JWT Bearer + Google OAuth + Facebook OAuth + optional 2FA (TOTP)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Authorization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[Authorize]</w:t>
            </w:r>
            <w:r>
              <w:rPr>
                <w:sz w:val="20"/>
              </w:rPr>
              <w:t xml:space="preserve"> attribute baseline; function-level via </w:t>
            </w:r>
            <w:r>
              <w:rPr>
                <w:rFonts w:ascii="Consolas" w:hAnsi="Consolas"/>
                <w:sz w:val="20"/>
              </w:rPr>
              <w:t>FunctionPermissionKeys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Secret management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Gitignored config files: </w:t>
            </w:r>
            <w:r>
              <w:rPr>
                <w:rFonts w:ascii="Consolas" w:hAnsi="Consolas"/>
                <w:sz w:val="20"/>
              </w:rPr>
              <w:t>Configs/Auth/*.json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EquifaxSetting.json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App_Data/Setting.txt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Data encryption at rest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DB provider-level (SQL Server TDE, PostgreSQL disk)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Data encryption in transit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TLS for all external integrations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PII handling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Bureau data stored per Privacy Act retention rules; audit via </w:t>
            </w:r>
            <w:r>
              <w:rPr>
                <w:rFonts w:ascii="Consolas" w:hAnsi="Consolas"/>
                <w:sz w:val="20"/>
              </w:rPr>
              <w:t>SystemBusinessChangeTracking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Input validation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DebDataValidation</w:t>
            </w:r>
            <w:r>
              <w:rPr>
                <w:sz w:val="20"/>
              </w:rPr>
              <w:t xml:space="preserve"> engine + EF model constraints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CORS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Configurable allow-origin (currently permissive, to be tightened)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DoS / abuse mitigation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Recommended: add rate-limiting middleware + WAF (gap — see §13)</w:t>
            </w:r>
          </w:p>
        </w:tc>
      </w:tr>
    </w:tbl>
    <w:p/>
    <w:p>
      <w:r>
        <w:rPr>
          <w:color w:val="555555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F3A68"/>
        </w:rPr>
        <w:t>11. Caching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66518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651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Figure 8.</w:t>
      </w:r>
    </w:p>
    <w:p>
      <w:pPr>
        <w:pStyle w:val="ListBullet"/>
      </w:pPr>
      <w:r>
        <w:t xml:space="preserve">Populated at startup via </w:t>
      </w:r>
      <w:r>
        <w:rPr>
          <w:rFonts w:ascii="Consolas" w:hAnsi="Consolas"/>
          <w:sz w:val="18"/>
        </w:rPr>
        <w:t>CachedDataManagement.RefreshCacheAll()</w:t>
      </w:r>
      <w:r>
        <w:t>.</w:t>
      </w:r>
    </w:p>
    <w:p>
      <w:pPr>
        <w:pStyle w:val="ListBullet"/>
      </w:pPr>
      <w:r>
        <w:t>Lazy per-table refresh on miss.</w:t>
      </w:r>
    </w:p>
    <w:p>
      <w:pPr>
        <w:pStyle w:val="ListBullet"/>
      </w:pPr>
      <w:r>
        <w:t xml:space="preserve">Invalidation on mutation through </w:t>
      </w:r>
      <w:r>
        <w:rPr>
          <w:rFonts w:ascii="Consolas" w:hAnsi="Consolas"/>
          <w:sz w:val="18"/>
        </w:rPr>
        <w:t>ICacheManagerService</w:t>
      </w:r>
      <w:r>
        <w:t>.</w:t>
      </w:r>
    </w:p>
    <w:p>
      <w:pPr>
        <w:pStyle w:val="ListBullet"/>
      </w:pPr>
      <w:r>
        <w:rPr>
          <w:b/>
        </w:rPr>
        <w:t>Limitation:</w:t>
      </w:r>
      <w:r>
        <w:t xml:space="preserve"> cache is per-instance (in-process) — horizontal scale-out currently risks stale reads until all instances reload. Distributed cache (Redis) is identified as a tech-debt item.</w:t>
      </w:r>
    </w:p>
    <w:p>
      <w:r>
        <w:rPr>
          <w:color w:val="555555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F3A68"/>
        </w:rPr>
        <w:t>12. Deployment Topology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574284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742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Figure 9.</w:t>
      </w:r>
    </w:p>
    <w:p>
      <w:pPr>
        <w:pStyle w:val="Heading3"/>
      </w:pPr>
      <w:r>
        <w:rPr>
          <w:color w:val="1F3A68"/>
        </w:rPr>
        <w:t>Environments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3A68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Environment</w:t>
            </w:r>
          </w:p>
        </w:tc>
        <w:tc>
          <w:tcPr>
            <w:tcW w:type="dxa" w:w="3249"/>
            <w:shd w:val="clear" w:color="auto" w:fill="1F3A68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URL / Host</w:t>
            </w:r>
          </w:p>
        </w:tc>
        <w:tc>
          <w:tcPr>
            <w:tcW w:type="dxa" w:w="3249"/>
            <w:shd w:val="clear" w:color="auto" w:fill="1F3A68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Database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Development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smsf-api-dev.allianceitsc.com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DEBSHAREDDB_DEV</w:t>
            </w:r>
            <w:r>
              <w:rPr>
                <w:sz w:val="20"/>
              </w:rPr>
              <w:t xml:space="preserve"> (PostgreSQL)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Staging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TBA by ITOPS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TBA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Production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TBA by ITOPS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SQL Server cluster + PostgreSQL</w:t>
            </w:r>
          </w:p>
        </w:tc>
      </w:tr>
    </w:tbl>
    <w:p/>
    <w:p>
      <w:pPr>
        <w:pStyle w:val="Heading3"/>
      </w:pPr>
      <w:r>
        <w:rPr>
          <w:color w:val="1F3A68"/>
        </w:rPr>
        <w:t>Deployment artifacts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3A68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Artifact</w:t>
            </w:r>
          </w:p>
        </w:tc>
        <w:tc>
          <w:tcPr>
            <w:tcW w:type="dxa" w:w="3249"/>
            <w:shd w:val="clear" w:color="auto" w:fill="1F3A68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Packaging</w:t>
            </w:r>
          </w:p>
        </w:tc>
        <w:tc>
          <w:tcPr>
            <w:tcW w:type="dxa" w:w="3249"/>
            <w:shd w:val="clear" w:color="auto" w:fill="1F3A68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Target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SMSFWebAPI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dotnet publish</w:t>
            </w:r>
            <w:r>
              <w:rPr>
                <w:sz w:val="20"/>
              </w:rPr>
              <w:t xml:space="preserve"> → IIS (web.config present) or Kestrel + systemd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Windows / Linux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DEBSharedAPI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dotnet publish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Windows / Linux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SMSFSupportWinApp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WPF installer + Windows Run registry auto-start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Windows Server</w:t>
            </w:r>
          </w:p>
        </w:tc>
      </w:tr>
    </w:tbl>
    <w:p/>
    <w:p>
      <w:pPr>
        <w:pStyle w:val="Heading3"/>
      </w:pPr>
      <w:r>
        <w:rPr>
          <w:color w:val="1F3A68"/>
        </w:rPr>
        <w:t>Startup sequence (first run)</w:t>
      </w:r>
    </w:p>
    <w:p>
      <w:pPr>
        <w:pStyle w:val="ListNumber"/>
      </w:pPr>
      <w:r>
        <w:rPr>
          <w:rFonts w:ascii="Consolas" w:hAnsi="Consolas"/>
          <w:sz w:val="18"/>
        </w:rPr>
        <w:t>EzyAPIStartupService.StartupService()</w:t>
      </w:r>
      <w:r>
        <w:t xml:space="preserve"> — initialises framework services</w:t>
      </w:r>
    </w:p>
    <w:p>
      <w:pPr>
        <w:pStyle w:val="ListNumber"/>
      </w:pPr>
      <w:r>
        <w:rPr>
          <w:rFonts w:ascii="Consolas" w:hAnsi="Consolas"/>
          <w:sz w:val="18"/>
        </w:rPr>
        <w:t>CachedDataManagement.RefreshCacheAll()</w:t>
      </w:r>
      <w:r>
        <w:t xml:space="preserve"> — loads config caches</w:t>
      </w:r>
    </w:p>
    <w:p>
      <w:pPr>
        <w:pStyle w:val="ListNumber"/>
      </w:pPr>
      <w:r>
        <w:rPr>
          <w:rFonts w:ascii="Consolas" w:hAnsi="Consolas"/>
          <w:sz w:val="18"/>
        </w:rPr>
        <w:t>ReduceEngineHelper.StartAllEngines()</w:t>
      </w:r>
      <w:r>
        <w:t xml:space="preserve"> — starts background engines</w:t>
      </w:r>
    </w:p>
    <w:p>
      <w:pPr>
        <w:pStyle w:val="ListNumber"/>
      </w:pPr>
      <w:r>
        <w:rPr>
          <w:rFonts w:ascii="Consolas" w:hAnsi="Consolas"/>
          <w:sz w:val="18"/>
        </w:rPr>
        <w:t>EzyFA2AuthenticatorManager.Register()</w:t>
      </w:r>
      <w:r>
        <w:t xml:space="preserve"> — registers 2FA provider</w:t>
      </w:r>
    </w:p>
    <w:p>
      <w:pPr>
        <w:pStyle w:val="ListNumber"/>
      </w:pPr>
      <w:r>
        <w:rPr>
          <w:rFonts w:ascii="Consolas" w:hAnsi="Consolas"/>
          <w:sz w:val="18"/>
        </w:rPr>
        <w:t>ESCFrameWorkManagement.InitServiceWithSystemConfig()</w:t>
      </w:r>
      <w:r>
        <w:t xml:space="preserve"> — applies runtime system config</w:t>
      </w:r>
    </w:p>
    <w:p>
      <w:r>
        <w:rPr>
          <w:color w:val="555555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F3A68"/>
        </w:rPr>
        <w:t>13. Non-Functional Requirements &amp; Observations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3A68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Dimension</w:t>
            </w:r>
          </w:p>
        </w:tc>
        <w:tc>
          <w:tcPr>
            <w:tcW w:type="dxa" w:w="3249"/>
            <w:shd w:val="clear" w:color="auto" w:fill="1F3A68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Current State</w:t>
            </w:r>
          </w:p>
        </w:tc>
        <w:tc>
          <w:tcPr>
            <w:tcW w:type="dxa" w:w="3249"/>
            <w:shd w:val="clear" w:color="auto" w:fill="1F3A68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Observation / Gap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Availability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IIS / Kestrel stateless instances, multi-instance capable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In-process cache limits safe scale-out — Redis cache recommended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Scalability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Horizontal behind LB for API; WinApp vertically scaled (5 engines)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Calculator throughput ceiling; consider serverless or queue-based workers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Performance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Gzip + Brotli compression; in-memory cache of config; async EF queries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Target p95 &lt; 500 ms for API; long-running calc jobs offloaded to WinApp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Security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JWT + OAuth + 2FA; gitignored secret files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CORS to be tightened; add rate-limiting + WAF; central secret vault (Azure KeyVault) recommended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Compliance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Audit trails via </w:t>
            </w:r>
            <w:r>
              <w:rPr>
                <w:rFonts w:ascii="Consolas" w:hAnsi="Consolas"/>
                <w:sz w:val="20"/>
              </w:rPr>
              <w:t>SystemBusinessChangeTracking</w:t>
            </w:r>
            <w:r>
              <w:rPr>
                <w:sz w:val="20"/>
              </w:rPr>
              <w:t xml:space="preserve"> and </w:t>
            </w:r>
            <w:r>
              <w:rPr>
                <w:rFonts w:ascii="Consolas" w:hAnsi="Consolas"/>
                <w:sz w:val="20"/>
              </w:rPr>
              <w:t>Log_*</w:t>
            </w:r>
            <w:r>
              <w:rPr>
                <w:sz w:val="20"/>
              </w:rPr>
              <w:t xml:space="preserve"> tables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Formal retention policy for PII/CCR data to be documented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Observability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Log files under </w:t>
            </w:r>
            <w:r>
              <w:rPr>
                <w:rFonts w:ascii="Consolas" w:hAnsi="Consolas"/>
                <w:sz w:val="20"/>
              </w:rPr>
              <w:t>App_Data</w:t>
            </w:r>
            <w:r>
              <w:rPr>
                <w:sz w:val="20"/>
              </w:rPr>
              <w:t xml:space="preserve">; basic </w:t>
            </w:r>
            <w:r>
              <w:rPr>
                <w:rFonts w:ascii="Consolas" w:hAnsi="Consolas"/>
                <w:sz w:val="20"/>
              </w:rPr>
              <w:t>ILogger</w:t>
            </w:r>
            <w:r>
              <w:rPr>
                <w:sz w:val="20"/>
              </w:rPr>
              <w:t xml:space="preserve"> usage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No centralised logging / APM yet — recommend Application Insights or equivalent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Testability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Few automated tests present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Unit + integration test coverage is a tracked tech-debt item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API discoverability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Swagger currently commented out in Startup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Re-enable Swagger / OpenAPI for internal API catalogue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Framework currency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SOURCE on .NET 9; DEB_SHARED on .NET 5 (EoL)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Upgrade DEB_SHARED to .NET 8 LTS or 9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Disaster recovery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DB-level backup only (assumed)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Document RPO/RTO; formalise restore runbook</w:t>
            </w:r>
          </w:p>
        </w:tc>
      </w:tr>
    </w:tbl>
    <w:p/>
    <w:p>
      <w:r>
        <w:rPr>
          <w:color w:val="555555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F3A68"/>
        </w:rPr>
        <w:t>14. Windows Support App Integration Pattern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0384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038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Figure 10.</w:t>
      </w:r>
    </w:p>
    <w:p>
      <w:r>
        <w:rPr>
          <w:b/>
        </w:rPr>
        <w:t>Operational notes</w:t>
      </w:r>
    </w:p>
    <w:p>
      <w:pPr>
        <w:pStyle w:val="ListBullet"/>
      </w:pPr>
      <w:r>
        <w:t xml:space="preserve">Polling interval configurable via </w:t>
      </w:r>
      <w:r>
        <w:rPr>
          <w:rFonts w:ascii="Consolas" w:hAnsi="Consolas"/>
          <w:sz w:val="18"/>
        </w:rPr>
        <w:t>Config.json</w:t>
      </w:r>
      <w:r>
        <w:t xml:space="preserve"> (</w:t>
      </w:r>
      <w:r>
        <w:rPr>
          <w:rFonts w:ascii="Consolas" w:hAnsi="Consolas"/>
          <w:sz w:val="18"/>
        </w:rPr>
        <w:t>EngineTimeOutSecond</w:t>
      </w:r>
      <w:r>
        <w:t>).</w:t>
      </w:r>
    </w:p>
    <w:p>
      <w:pPr>
        <w:pStyle w:val="ListBullet"/>
      </w:pPr>
      <w:r>
        <w:t xml:space="preserve">Templates per funder stored outside the binary in </w:t>
      </w:r>
      <w:r>
        <w:rPr>
          <w:rFonts w:ascii="Consolas" w:hAnsi="Consolas"/>
          <w:sz w:val="18"/>
        </w:rPr>
        <w:t>ExcelTemplateFileSetting</w:t>
      </w:r>
      <w:r>
        <w:t>.</w:t>
      </w:r>
    </w:p>
    <w:p>
      <w:pPr>
        <w:pStyle w:val="ListBullet"/>
      </w:pPr>
      <w:r>
        <w:t>Auto-starts via Windows Run registry; minimises to system tray.</w:t>
      </w:r>
    </w:p>
    <w:p>
      <w:pPr>
        <w:pStyle w:val="ListBullet"/>
      </w:pPr>
      <w:r>
        <w:t xml:space="preserve">Failures captured through </w:t>
      </w:r>
      <w:r>
        <w:rPr>
          <w:rFonts w:ascii="Consolas" w:hAnsi="Consolas"/>
          <w:sz w:val="18"/>
        </w:rPr>
        <w:t>ExceptionHelper</w:t>
      </w:r>
      <w:r>
        <w:t xml:space="preserve"> and surfaced in the Monitoring tab.</w:t>
      </w:r>
    </w:p>
    <w:p>
      <w:r>
        <w:rPr>
          <w:color w:val="555555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F3A68"/>
        </w:rPr>
        <w:t>15. Risks &amp; Recommendations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F3A68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436"/>
            <w:shd w:val="clear" w:color="auto" w:fill="1F3A68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Risk / Issue</w:t>
            </w:r>
          </w:p>
        </w:tc>
        <w:tc>
          <w:tcPr>
            <w:tcW w:type="dxa" w:w="2436"/>
            <w:shd w:val="clear" w:color="auto" w:fill="1F3A68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Severity</w:t>
            </w:r>
          </w:p>
        </w:tc>
        <w:tc>
          <w:tcPr>
            <w:tcW w:type="dxa" w:w="2436"/>
            <w:shd w:val="clear" w:color="auto" w:fill="1F3A68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Recommendation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DEB_SHARED on .NET 5 (out-of-support)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High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Upgrade to .NET 8 LTS or unify on .NET 9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2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In-process cache only; stale reads on scale-out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Med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Introduce Redis / distributed cache with cache-aside pattern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Swagger disabled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Med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Re-enable for internal API catalogue + contract tests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4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Permissive CORS in Startup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Med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Restrict to known origins per environment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5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No centralised observability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Med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Adopt Application Insights (traces, metrics, logs)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6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Limited automated test coverage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Med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Establish unit + integration test baseline; CI gating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7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Calculator throughput bound by WinApp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Med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Evaluate queue-based Linux workers or Azure Functions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8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Secrets in local config files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Med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Move to Azure Key Vault / AWS Secrets Manager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9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No documented DR runbook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High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Define RPO/RTO; document restore procedure; drill annually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10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Two independent "SMSFWebAPI" solutions cause naming ambiguity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Low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Rename DEB_SHARED projects for clarity</w:t>
            </w:r>
          </w:p>
        </w:tc>
      </w:tr>
    </w:tbl>
    <w:p/>
    <w:p>
      <w:r>
        <w:rPr>
          <w:color w:val="555555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F3A68"/>
        </w:rPr>
        <w:t>16. Glossary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3A68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Term</w:t>
            </w:r>
          </w:p>
        </w:tc>
        <w:tc>
          <w:tcPr>
            <w:tcW w:type="dxa" w:w="4873"/>
            <w:shd w:val="clear" w:color="auto" w:fill="1F3A68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Meaning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SMSF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Self-Managed Super Fund — Australian retirement savings vehicle self-administered by members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RHL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Reduce Home Loan — residential mortgage product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SOURCE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Non-conforming lending product line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LVR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Loan-to-Value Ratio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CCR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Comprehensive Credit Reporting (Equifax)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DoxAI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Internal document AI extraction pipeline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NCCP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National Consumer Credit Protection Act (AU)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B2B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Broker-to-Lender submission path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EoL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End of Life (framework support status)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RPO/RTO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Recovery Point Objective / Recovery Time Objective</w:t>
            </w:r>
          </w:p>
        </w:tc>
      </w:tr>
    </w:tbl>
    <w:p/>
    <w:p>
      <w:r>
        <w:rPr>
          <w:color w:val="555555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F3A68"/>
        </w:rPr>
        <w:t>17. Appendix A — Key Source Locations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3A68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Concern</w:t>
            </w:r>
          </w:p>
        </w:tc>
        <w:tc>
          <w:tcPr>
            <w:tcW w:type="dxa" w:w="4873"/>
            <w:shd w:val="clear" w:color="auto" w:fill="1F3A68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Path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API Startup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SOURCE/SMSFWebAPI/Startup.cs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Program.cs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Controllers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SOURCE/SMSFWebAPI/Controllers/**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Business services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SOURCE/SMSFWebAPI.Shared/Services/**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Helpers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SOURCE/SMSFWebAPI.Shared/Helper/**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EF DbContexts &amp; entities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SOURCE/SMSFWebAPI.Core/Data/**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Background engines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SOURCE/SMSFWebAPI.Shared/Engines/**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Constants / enums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SOURCE/SMSFWebAPI.DataShared/**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Report templates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SOURCE/SMSFWebAPI/ReportTemplate/**</w:t>
            </w:r>
            <w:r>
              <w:rPr>
                <w:sz w:val="20"/>
              </w:rPr>
              <w:t xml:space="preserve"> (</w:t>
            </w:r>
            <w:r>
              <w:rPr>
                <w:rFonts w:ascii="Consolas" w:hAnsi="Consolas"/>
                <w:sz w:val="20"/>
              </w:rPr>
              <w:t>.repx</w:t>
            </w:r>
            <w:r>
              <w:rPr>
                <w:sz w:val="20"/>
              </w:rPr>
              <w:t>)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DEB shared platform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DEB_SHARED/**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Windows calculator app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SOURCE_SUPPORT/SMSFSupportWinApp/**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Ignored config (secrets)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Configs/Auth/*.json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App_Data/Setting.txt</w:t>
            </w:r>
          </w:p>
        </w:tc>
      </w:tr>
    </w:tbl>
    <w:p/>
    <w:p>
      <w:r>
        <w:rPr>
          <w:color w:val="555555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</w:rPr>
        <w:t>End of document — ITOPS-ARCH-2026-001 v1.0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