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BẢO LÃNH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Phạm vi bảo lãnh thực hiện nghĩa vụ</w:t>
      </w:r>
    </w:p>
    <w:p>
      <w:r>
        <w:t>- Bên A (Bên bảo lãnh) cam kết thực hiện nghĩa vụ thay cho {{ten_ben_duoc_bao_lanh}} nếu bên này không thực hiện đúng nghĩa vụ đối với Bên B.</w:t>
      </w:r>
    </w:p>
    <w:p>
      <w:r>
        <w:rPr>
          <w:b/>
        </w:rPr>
        <w:t>Điều 2: Giá trị bảo lãnh tối đa</w:t>
      </w:r>
    </w:p>
    <w:p>
      <w:r>
        <w:t>- Số tiền bảo lãnh nghĩa vụ tối đa là: {{so_tien_bao_lanh}} VNĐ.</w:t>
        <w:br/>
        <w:t>- Nghĩa vụ được bảo lãnh bao gồm: {{nghia_vu_bao_lanh}} (Nghĩa vụ trả nợ, bàn giao...).</w:t>
      </w:r>
    </w:p>
    <w:p>
      <w:r>
        <w:rPr>
          <w:b/>
        </w:rPr>
        <w:t>Điều 3: Trách nhiệm thanh toán của Bên bảo lãnh</w:t>
      </w:r>
    </w:p>
    <w:p>
      <w:r>
        <w:t>- Trong vòng {{han_thanh_toan}} ngày kể từ khi nhận văn bản yêu cầu thực hiện nghĩa vụ bảo lãnh của Bên B, Bên A có trách nhiệm thanh toán số tiền bảo lãnh.</w:t>
      </w:r>
    </w:p>
    <w:p>
      <w:r>
        <w:rPr>
          <w:b/>
        </w:rPr>
        <w:t>Điều 4: Quyền yêu cầu bồi hoàn và hoàn trả</w:t>
      </w:r>
    </w:p>
    <w:p>
      <w:r>
        <w:t>- Sau khi Bên A thực hiện nghĩa vụ bảo lãnh thay cho Bên được bảo lãnh, Bên A có quyền yêu cầu Bên được bảo lãnh hoàn trả toàn bộ số tiền cùng lãi phát sinh.</w:t>
      </w:r>
    </w:p>
    <w:p>
      <w:r>
        <w:rPr>
          <w:b/>
        </w:rPr>
        <w:t>Điều 5: Cam kết chung và giải quyết tranh chấp</w:t>
      </w:r>
    </w:p>
    <w:p>
      <w:r>
        <w:t>- Cam kết bảo lãnh là vô điều kiện và không hủy ngang trong suốt thời hạn hiệu lực của bảo lãnh.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