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GIA CÔNG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Tên sản phẩm gia công và quy cách kỹ thuật</w:t>
      </w:r>
    </w:p>
    <w:p>
      <w:r>
        <w:t>- Bên B nhận gia công sản phẩm: {{ten_san_pham_gia_cong}}.</w:t>
        <w:br/>
        <w:t>- Quy cách, kích thước, tiêu chuẩn chất lượng sản phẩm chi tiết: {{quy_cach_ky_thuat}}.</w:t>
      </w:r>
    </w:p>
    <w:p>
      <w:r>
        <w:rPr>
          <w:b/>
        </w:rPr>
        <w:t>Điều 2: Định mức và cấp phát nguyên vật liệu</w:t>
      </w:r>
    </w:p>
    <w:p>
      <w:r>
        <w:t>- Nguyên vật liệu chính do Bên {{ben_cung_cap_nguyen_lieu}} cung cấp.</w:t>
        <w:br/>
        <w:t>- Định mức hao hụt cho phép trong quá trình sản xuất gia công: {{dinh_muc_hao_hut}} %.</w:t>
      </w:r>
    </w:p>
    <w:p>
      <w:r>
        <w:rPr>
          <w:b/>
        </w:rPr>
        <w:t>Điều 3: Đơn giá gia công và thanh toán</w:t>
      </w:r>
    </w:p>
    <w:p>
      <w:r>
        <w:t>- Đơn giá gia công sản phẩm: {{don_gia_gia_cong}} VNĐ/đơn vị.</w:t>
        <w:br/>
        <w:t>- Tổng phí gia công dự kiến: {{tong_phi_gia_cong}} VNĐ.</w:t>
        <w:br/>
        <w:t>- Phương thức thanh toán: {{phuong_thuc_thanh_toan}}.</w:t>
      </w:r>
    </w:p>
    <w:p>
      <w:r>
        <w:rPr>
          <w:b/>
        </w:rPr>
        <w:t>Điều 4: Thời gian và địa điểm giao nhận sản phẩm</w:t>
      </w:r>
    </w:p>
    <w:p>
      <w:r>
        <w:t>- Thời hạn giao nhận thành phẩm gia công: trước ngày {{ngay_giao_hang}}.</w:t>
        <w:br/>
        <w:t>- Địa điểm giao hàng và nghiệm thu sản phẩm: {{dia_diem_giao}}.</w:t>
      </w:r>
    </w:p>
    <w:p>
      <w:r>
        <w:rPr>
          <w:b/>
        </w:rPr>
        <w:t>Điều 5: Trách nhiệm do vi phạm chất lượng</w:t>
      </w:r>
    </w:p>
    <w:p>
      <w:r>
        <w:t>- Bên B phải sửa chữa hoặc làm lại sản phẩm nếu không đạt yêu cầu chất lượng.</w:t>
        <w:br/>
        <w:t>- Chịu trách nhiệm bồi thường nguyên vật liệu bị hỏng hoặc hao hụt vượt định mức.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