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LIÊN KẾT KINH DOANH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Mục đích và nội dung liên kết</w:t>
      </w:r>
    </w:p>
    <w:p>
      <w:r>
        <w:t>- Hai bên cùng liên kết triển khai chương trình / hoạt động: {{noi_dung_lien_ket}} nhằm khai thác thế mạnh nguồn lực của mỗi bên.</w:t>
      </w:r>
    </w:p>
    <w:p>
      <w:r>
        <w:rPr>
          <w:b/>
        </w:rPr>
        <w:t>Điều 2: Trách nhiệm và đóng góp của các bên</w:t>
      </w:r>
    </w:p>
    <w:p>
      <w:r>
        <w:t>- Trách nhiệm đóng góp của Bên A: {{trach_nhiem_ben_a}}.</w:t>
        <w:br/>
        <w:t>- Trách nhiệm đóng góp của Bên B: {{trach_nhiem_ben_b}}.</w:t>
      </w:r>
    </w:p>
    <w:p>
      <w:r>
        <w:rPr>
          <w:b/>
        </w:rPr>
        <w:t>Điều 3: Phân chia doanh thu và chi phí phát sinh</w:t>
      </w:r>
    </w:p>
    <w:p>
      <w:r>
        <w:t>- Cơ chế tài chính, phân bổ chi phí hoạt động và phân chia doanh thu cụ thể: {{co_che_tai_chinh}}.</w:t>
      </w:r>
    </w:p>
    <w:p>
      <w:r>
        <w:rPr>
          <w:b/>
        </w:rPr>
        <w:t>Điều 4: Quyền sở hữu trí tuệ và tài sản thương hiệu</w:t>
      </w:r>
    </w:p>
    <w:p>
      <w:r>
        <w:t>- Mọi nhãn hiệu, logo và tài sản trí tuệ của bên nào vẫn thuộc quyền sở hữu riêng của bên đó.</w:t>
        <w:br/>
        <w:t>- Việc sử dụng thương hiệu chung cho chương trình liên kết phải được phê duyệt trước.</w:t>
      </w:r>
    </w:p>
    <w:p>
      <w:r>
        <w:rPr>
          <w:b/>
        </w:rPr>
        <w:t>Điều 5: Thời hạn liên kết và điều khoản chấm dứt</w:t>
      </w:r>
    </w:p>
    <w:p>
      <w:r>
        <w:t>- Hợp đồng liên kết có thời hạn: {{thoi_han_lien_ket}}.</w:t>
        <w:br/>
        <w:t>- Chấm dứt trước hạn bằng văn bản thông báo trước tối thiểu {{thoi_gian_bao_truoc}} ngày.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