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PRIYA S. NATARAJAN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HR &amp; Marketing Generalist — Employer Branding | People Ops | Campaigns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Austin, TX  •  (512) 555-0173  •  priya.natarajan.example@email.com  •  linkedin.com/in/priyanatarajan-example</w:t>
      </w:r>
    </w:p>
    <w:p>
      <w:pPr>
        <w:pBdr>
          <w:bottom w:val="single" w:color="BFBFBF" w:sz="6"/>
        </w:pBdr>
        <w:spacing w:after="160" w:before="60"/>
      </w:pPr>
    </w:p>
    <w:p>
      <w:pPr>
        <w:pBdr>
          <w:bottom w:val="single" w:color="1F386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Versatile HR and Marketing professional with 6+ years of combined experience spanning talent acquisition, employee engagement, employer branding, and integrated marketing campaigns. Skilled at bridging people strategy with brand storytelling — building recruitment marketing programs, internal communications, and content that strengthen both culture and market presence. Proven record managing cross-functional projects for mid-size and high-growth companies.</w:t>
      </w:r>
    </w:p>
    <w:p>
      <w:pPr>
        <w:pBdr>
          <w:bottom w:val="single" w:color="1F386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HR &amp; Employer Brand Manager</w:t>
      </w:r>
      <w:r>
        <w:rPr>
          <w:rFonts w:ascii="Calibri" w:cs="Calibri" w:eastAsia="Calibri" w:hAnsi="Calibri"/>
          <w:sz w:val="21"/>
          <w:szCs w:val="21"/>
        </w:rPr>
        <w:t xml:space="preserve">  |  Cascade Retail Group — Austin, TX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Mar 2022 – Present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Own the full employer brand strategy, including careers site content, employee testimonial videos, and LinkedIn recruitment campaigns, contributing to a 35% increase in qualified applicants.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Lead end-to-end recruiting for corporate roles (40+ hires/year) while managing onboarding, benefits administration, and performance review cycles for a 220-person workforce.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Partner with the marketing team on internal and external communications, including quarterly town halls, culture campaigns, and DEI initiatives.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 HRIS (BambooHR) and applicant tracking system, and report engagement/retention metrics to senior leadership.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Specialist</w:t>
      </w:r>
      <w:r>
        <w:rPr>
          <w:rFonts w:ascii="Calibri" w:cs="Calibri" w:eastAsia="Calibri" w:hAnsi="Calibri"/>
          <w:sz w:val="21"/>
          <w:szCs w:val="21"/>
        </w:rPr>
        <w:t xml:space="preserve">  |  Brightline Digital Agency — Austin, TX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 2020 – Mar 2022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Managed integrated marketing campaigns for 6 client accounts across email, paid social, and content marketing, growing average client engagement by 28%.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Built and executed content calendars, coordinating with designers, copywriters, and clients to hit campaign deadlines.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Analyzed campaign performance in Google Analytics and HubSpot, presenting monthly results and optimization recommendations to clients.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Supported employer branding projects for client HR teams, including recruitment landing pages and social recruiting content.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HR Generalist</w:t>
      </w:r>
      <w:r>
        <w:rPr>
          <w:rFonts w:ascii="Calibri" w:cs="Calibri" w:eastAsia="Calibri" w:hAnsi="Calibri"/>
          <w:sz w:val="21"/>
          <w:szCs w:val="21"/>
        </w:rPr>
        <w:t xml:space="preserve">  |  Meadowview Health Systems — San Antonio, TX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2018 – Jul 2020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Managed full-cycle recruiting, onboarding, and employee relations for a 150-employee healthcare organization.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Coordinated internal communications and wrote content for the employee newsletter and intranet.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Administered benefits enrollment, maintained HR compliance records, and supported annual open enrollment.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Assisted with community outreach and recruitment marketing events, including local job fairs and university partnerships.</w:t>
      </w:r>
    </w:p>
    <w:p>
      <w:pPr>
        <w:pBdr>
          <w:bottom w:val="single" w:color="1F386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B.A. in Communications, Minor in Human Resource Management — </w:t>
      </w:r>
      <w:r>
        <w:rPr>
          <w:rFonts w:ascii="Calibri" w:cs="Calibri" w:eastAsia="Calibri" w:hAnsi="Calibri"/>
          <w:sz w:val="20"/>
          <w:szCs w:val="20"/>
        </w:rPr>
        <w:t xml:space="preserve">University of Texas at Austin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Graduated May 2018  •  GPA: 3.6/4.0</w:t>
      </w:r>
    </w:p>
    <w:p>
      <w:pPr>
        <w:pBdr>
          <w:bottom w:val="single" w:color="1F3864" w:sz="4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 &amp; SKILLS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PHR (Professional in Human Resources) Certified; HubSpot Content Marketing Certified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HR: Talent acquisition, onboarding, employee relations, HRIS (BambooHR, Workday), benefits administration, DEI programs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Marketing: Employer branding, content strategy, email &amp; social campaigns, Google Analytics, HubSpot, Canva, Adobe Creative Suite (basic)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Core strengths: Cross-functional collaboration, internal communications, project management, employee engagement, storytelling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2026-07-30T08:21:32.348Z</dcterms:created>
  <dcterms:modified xsi:type="dcterms:W3CDTF">2026-07-30T08:21:32.366Z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