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F0" w:rsidRPr="00F41DF0" w:rsidRDefault="00F41DF0" w:rsidP="00F41DF0">
      <w:pPr>
        <w:rPr>
          <w:rFonts w:ascii="Georgia" w:eastAsia="Georgia" w:hAnsi="Georgia" w:cs="Times New Roman"/>
          <w:b/>
          <w:sz w:val="28"/>
          <w:u w:val="single"/>
        </w:rPr>
      </w:pPr>
      <w:r w:rsidRPr="00F41DF0">
        <w:rPr>
          <w:rFonts w:ascii="Georgia" w:eastAsia="Georgia" w:hAnsi="Georgia" w:cs="Times New Roman"/>
          <w:b/>
          <w:sz w:val="28"/>
          <w:u w:val="single"/>
        </w:rPr>
        <w:t>Section 2: the ‘golden age’ of the Weimar Republic, 1924-1928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6"/>
        <w:gridCol w:w="4916"/>
        <w:gridCol w:w="4916"/>
        <w:gridCol w:w="4916"/>
      </w:tblGrid>
      <w:tr w:rsidR="00F41DF0" w:rsidTr="009F6903">
        <w:trPr>
          <w:trHeight w:val="233"/>
        </w:trPr>
        <w:tc>
          <w:tcPr>
            <w:tcW w:w="4916" w:type="dxa"/>
          </w:tcPr>
          <w:p w:rsidR="00F41DF0" w:rsidRPr="00133419" w:rsidRDefault="00F41DF0">
            <w:pPr>
              <w:rPr>
                <w:b/>
              </w:rPr>
            </w:pPr>
            <w:r w:rsidRPr="00133419">
              <w:rPr>
                <w:b/>
              </w:rPr>
              <w:t>Chapter 5</w:t>
            </w:r>
          </w:p>
        </w:tc>
        <w:tc>
          <w:tcPr>
            <w:tcW w:w="4916" w:type="dxa"/>
          </w:tcPr>
          <w:p w:rsidR="00F41DF0" w:rsidRPr="00133419" w:rsidRDefault="00F41DF0">
            <w:pPr>
              <w:rPr>
                <w:b/>
              </w:rPr>
            </w:pPr>
            <w:r w:rsidRPr="00133419">
              <w:rPr>
                <w:b/>
              </w:rPr>
              <w:t>Chapter 6</w:t>
            </w:r>
          </w:p>
        </w:tc>
        <w:tc>
          <w:tcPr>
            <w:tcW w:w="4916" w:type="dxa"/>
          </w:tcPr>
          <w:p w:rsidR="00F41DF0" w:rsidRPr="00133419" w:rsidRDefault="00F41DF0">
            <w:pPr>
              <w:rPr>
                <w:b/>
              </w:rPr>
            </w:pPr>
            <w:r w:rsidRPr="00133419">
              <w:rPr>
                <w:b/>
              </w:rPr>
              <w:t>Chapter 7</w:t>
            </w:r>
          </w:p>
        </w:tc>
        <w:tc>
          <w:tcPr>
            <w:tcW w:w="4916" w:type="dxa"/>
          </w:tcPr>
          <w:p w:rsidR="00F41DF0" w:rsidRPr="00133419" w:rsidRDefault="00F41DF0">
            <w:pPr>
              <w:rPr>
                <w:b/>
              </w:rPr>
            </w:pPr>
            <w:r w:rsidRPr="00133419">
              <w:rPr>
                <w:b/>
              </w:rPr>
              <w:t>Chapter 8</w:t>
            </w:r>
          </w:p>
        </w:tc>
      </w:tr>
      <w:tr w:rsidR="00F41DF0" w:rsidTr="009F6903">
        <w:trPr>
          <w:trHeight w:val="12283"/>
        </w:trPr>
        <w:tc>
          <w:tcPr>
            <w:tcW w:w="4916" w:type="dxa"/>
          </w:tcPr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Aug 1923 – Cuno </w:t>
            </w:r>
            <w:r w:rsidR="004770FF">
              <w:t>government</w:t>
            </w:r>
            <w:r>
              <w:t xml:space="preserve"> collapsed and </w:t>
            </w:r>
            <w:r w:rsidR="004770FF">
              <w:t>replaced</w:t>
            </w:r>
            <w:r>
              <w:t xml:space="preserve"> by Stresemann </w:t>
            </w:r>
          </w:p>
          <w:p w:rsidR="00F41DF0" w:rsidRDefault="004770FF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Stresemann</w:t>
            </w:r>
            <w:r w:rsidR="00F41DF0">
              <w:t xml:space="preserve"> had 3 aims – end passive resistance, issue new currency (Nov 1923 under direction of </w:t>
            </w:r>
            <w:r>
              <w:t>Hjalmar</w:t>
            </w:r>
            <w:r w:rsidR="00F41DF0">
              <w:t xml:space="preserve"> Schacht) and balancing the budget (300,000 civil servants lost their jobs and no. of companies that went bankrupt went from 233 in 1923 to over 6000 in 1924)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April 1924 – Dawes Plan – loan of 800 million marks from the USA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industrial output grew after 1924 but didn’t reach 1913 levels till 1929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1928-29 the economy shrank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growth rates were unsteady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investments in new machinery falling by 1929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advances made in </w:t>
            </w:r>
            <w:r w:rsidR="00133419">
              <w:t>chemical</w:t>
            </w:r>
            <w:r>
              <w:t xml:space="preserve">, car and </w:t>
            </w:r>
            <w:r w:rsidR="00133419">
              <w:t>aeroplane</w:t>
            </w:r>
            <w:r>
              <w:t xml:space="preserve"> industries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inflation rate close to 0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living standard rose and wages increased from 1924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1924 – new </w:t>
            </w:r>
            <w:r w:rsidR="00133419">
              <w:t>schemes</w:t>
            </w:r>
            <w:r>
              <w:t xml:space="preserve"> of relief were launched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1927 – real wages increase by 9% then further 12% in 1928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1925 – </w:t>
            </w:r>
            <w:r w:rsidR="00133419">
              <w:t>unemployment</w:t>
            </w:r>
            <w:r>
              <w:t xml:space="preserve"> at 1 </w:t>
            </w:r>
            <w:r w:rsidR="00133419">
              <w:t>million</w:t>
            </w:r>
            <w:r>
              <w:t xml:space="preserve"> and over 3 million in March 1926 </w:t>
            </w:r>
            <w:r w:rsidR="00133419">
              <w:t>through</w:t>
            </w:r>
            <w:r>
              <w:t xml:space="preserve"> did fall after that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mining companies reduced workforce by 136,000 </w:t>
            </w:r>
            <w:r w:rsidR="00133419">
              <w:t>between</w:t>
            </w:r>
            <w:r>
              <w:t xml:space="preserve"> 1922 and 1925 and further 56,,000 between 1925 and 1929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plight of farmers worsened due to global grain surplus and price slump in 1925 and 1926 – late 1926 </w:t>
            </w:r>
            <w:r w:rsidR="00133419">
              <w:t>increase</w:t>
            </w:r>
            <w:r>
              <w:t xml:space="preserve"> in farmers bankruptcies </w:t>
            </w:r>
          </w:p>
          <w:p w:rsidR="00F41DF0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1928 – riots by famers in frost of foreclosure and low market prices </w:t>
            </w:r>
          </w:p>
          <w:p w:rsidR="004770FF" w:rsidRDefault="00F41DF0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by 1929 – German agricultural production was less than ¾ of its pre-war levels </w:t>
            </w:r>
          </w:p>
          <w:p w:rsidR="00F41DF0" w:rsidRDefault="004770FF" w:rsidP="00F41DF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Aug 1929 – Young Plan led to debate of ‘freedom law’ in Reichstag </w:t>
            </w:r>
            <w:r w:rsidR="00F41DF0">
              <w:t xml:space="preserve"> </w:t>
            </w:r>
          </w:p>
        </w:tc>
        <w:tc>
          <w:tcPr>
            <w:tcW w:w="4916" w:type="dxa"/>
          </w:tcPr>
          <w:p w:rsidR="00F41DF0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1924 – public assistance system which provided help for poor and destitute was modernised </w:t>
            </w:r>
          </w:p>
          <w:p w:rsidR="004770FF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1927 – national unemployment insurance system introduced </w:t>
            </w:r>
            <w:r w:rsidR="00133419">
              <w:t>to prove</w:t>
            </w:r>
            <w:r>
              <w:t xml:space="preserve"> </w:t>
            </w:r>
            <w:r w:rsidR="00133419">
              <w:t>benefits</w:t>
            </w:r>
            <w:r>
              <w:t xml:space="preserve"> for unemployed </w:t>
            </w:r>
          </w:p>
          <w:p w:rsidR="004770FF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1926 – state supporting 800,000 disable war veterans, 360,000 war widows and over 900,000 war orphans </w:t>
            </w:r>
            <w:bookmarkStart w:id="0" w:name="_GoBack"/>
            <w:bookmarkEnd w:id="0"/>
          </w:p>
          <w:p w:rsidR="004770FF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>taxes increase after 1924</w:t>
            </w:r>
          </w:p>
          <w:p w:rsidR="004770FF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constitution gave women new legal and civil rights but Civil Code of 1896 remained </w:t>
            </w:r>
          </w:p>
          <w:p w:rsidR="004770FF" w:rsidRDefault="004770FF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most popular </w:t>
            </w:r>
            <w:r w:rsidR="00133419">
              <w:t>women’s</w:t>
            </w:r>
            <w:r>
              <w:t xml:space="preserve"> group in 1920 with membership of 900,000 was </w:t>
            </w:r>
            <w:r w:rsidR="00133419">
              <w:t>League</w:t>
            </w:r>
            <w:r>
              <w:t xml:space="preserve"> of German Workers (BDF) – promoted </w:t>
            </w:r>
            <w:r w:rsidR="00133419">
              <w:t>traditional</w:t>
            </w:r>
            <w:r>
              <w:t xml:space="preserve"> family values and maternal responsibilities </w:t>
            </w:r>
          </w:p>
          <w:p w:rsidR="004770FF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level of youth unemployment increased – 1925-56 17% of unemployed in 14-21 age group </w:t>
            </w:r>
          </w:p>
          <w:p w:rsidR="009F6903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3 main youth groups – Wandervogel (set up in 1896 was non-political), Church youth groups and political youth groups (SPD and KPD founded one in 1925 – </w:t>
            </w:r>
            <w:r w:rsidR="00133419">
              <w:t>Bismarck</w:t>
            </w:r>
            <w:r>
              <w:t xml:space="preserve"> Youth, linked to DNVP </w:t>
            </w:r>
            <w:r w:rsidR="00133419">
              <w:t>readied</w:t>
            </w:r>
            <w:r>
              <w:t xml:space="preserve"> membership of 42,000 by 1928 – Hitler </w:t>
            </w:r>
            <w:r w:rsidR="00133419">
              <w:t>Youth</w:t>
            </w:r>
            <w:r>
              <w:t xml:space="preserve"> with membership of 13,000 in 1929) </w:t>
            </w:r>
          </w:p>
          <w:p w:rsidR="009F6903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more than ½ million Jews in Germany – less than 1% of the population </w:t>
            </w:r>
          </w:p>
          <w:p w:rsidR="009F6903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Jewish publishing firms owed The Berliner Tageblatt and Frankfurter Zeitung </w:t>
            </w:r>
          </w:p>
          <w:p w:rsidR="009F6903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Theodor Wolff (editor of BT and driving force behind Liberal DDP), Walther Rathenau (leading member of DDP), Rosa Luxembourg, Hugo Hasse and Kurt Eisner all came from Jewish backgrounds </w:t>
            </w:r>
          </w:p>
          <w:p w:rsidR="009F6903" w:rsidRDefault="009F6903" w:rsidP="004770FF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>Rathenau failed controlled huge electrical engineering firm AEG until 1927</w:t>
            </w:r>
          </w:p>
          <w:p w:rsidR="009F6903" w:rsidRDefault="009F6903" w:rsidP="009F6903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Jewish banking families such as Rothschild’s, Mendelssohn’s and Bleichroders owned 50% of private banks </w:t>
            </w:r>
          </w:p>
          <w:p w:rsidR="009F6903" w:rsidRDefault="009F6903" w:rsidP="009F6903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Jews owned 18% of banking sector and ½ of firms involved in cloth trade </w:t>
            </w:r>
          </w:p>
          <w:p w:rsidR="009F6903" w:rsidRDefault="009F6903" w:rsidP="009F6903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made up 16% of lawyers and 11% of doctors </w:t>
            </w:r>
          </w:p>
          <w:p w:rsidR="009F6903" w:rsidRDefault="009F6903" w:rsidP="009F6903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t xml:space="preserve">9 of 38 Nobel prizes up to 1938 were due to Jews </w:t>
            </w:r>
          </w:p>
          <w:p w:rsidR="009F6903" w:rsidRDefault="009F6903" w:rsidP="009F6903">
            <w:pPr>
              <w:ind w:left="36"/>
            </w:pPr>
          </w:p>
        </w:tc>
        <w:tc>
          <w:tcPr>
            <w:tcW w:w="4916" w:type="dxa"/>
          </w:tcPr>
          <w:p w:rsidR="00F41DF0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1925 – Hindenburg appointed as </w:t>
            </w:r>
            <w:r w:rsidR="00133419">
              <w:t>President</w:t>
            </w:r>
            <w:r>
              <w:t xml:space="preserve">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two election in 1924 – </w:t>
            </w:r>
            <w:r w:rsidR="00133419">
              <w:t>showed</w:t>
            </w:r>
            <w:r>
              <w:t xml:space="preserve"> greater support for Republican parties such as the SPD, DDP, DVP and Centre – over 61% vote pro-Republican in May and 67% in Dec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>Nazi party got 6.5% in May and 3% in Dec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KPD support fell after 1924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7 coalition cabinets between Nov 1923 and March 1930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only 6 of 23 cabinets between 1919 and 1930 had majority support in the Reichstag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1926 – cabinet of Luther collapsed over dispute over flags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SPD remained largest party in the Reichstag – close </w:t>
            </w:r>
            <w:r w:rsidR="00133419">
              <w:t>links</w:t>
            </w:r>
            <w:r>
              <w:t xml:space="preserve"> to </w:t>
            </w:r>
            <w:r w:rsidR="00133419">
              <w:t>trade</w:t>
            </w:r>
            <w:r>
              <w:t xml:space="preserve"> </w:t>
            </w:r>
            <w:r w:rsidR="00133419">
              <w:t>unions</w:t>
            </w:r>
            <w:r>
              <w:t xml:space="preserve"> – appealed to industrial workers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Centre Party – based on religious affiliations – no coalition government formed without them – leadership change in 1928 with Bruning showed growing drift to the right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DDP – liberal – in </w:t>
            </w:r>
            <w:r w:rsidR="00133419">
              <w:t>decline</w:t>
            </w:r>
            <w:r>
              <w:t xml:space="preserve"> by mid-1920s – appeals to academics and professional groups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DVP – conservative – appeals to academics and </w:t>
            </w:r>
            <w:r w:rsidR="00133419">
              <w:t>industrialists</w:t>
            </w:r>
            <w:r>
              <w:t xml:space="preserve"> – Stresemann part of this party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DNVP – conservative and nationalist – appeal to </w:t>
            </w:r>
            <w:r w:rsidR="00133419">
              <w:t>industrialists</w:t>
            </w:r>
            <w:r>
              <w:t xml:space="preserve">, professional groups and some industrial workers – 1928 loss support due to joining Luther Cabinet in 1926 and Marx cabinet in 1928 – Hugenburg made leader in 1928 and shift to the right confirmed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Nazi party – end of 1927 party had only 75,000 members and 7 deputies in the Reichstag – began to concentrate on Protestant north of Germany – rural votes were high </w:t>
            </w:r>
          </w:p>
          <w:p w:rsidR="007F55AC" w:rsidRDefault="007F55AC" w:rsidP="009F6903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 xml:space="preserve">KPD – communist party – support in industrial and port areas like Ruhr, Saxony and Hamburg and in Berlin </w:t>
            </w:r>
          </w:p>
        </w:tc>
        <w:tc>
          <w:tcPr>
            <w:tcW w:w="4916" w:type="dxa"/>
          </w:tcPr>
          <w:p w:rsidR="00F41DF0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Locarno Pact in 1925 contained both Rhineland pact and Arbitration Treaties – eastern borders not recognised and Germany accepted into the League of Nations and won Nobel peace prize I 1926 – had established Germanys position as equal partner in diplomatic negotiations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Treaty of Rapallo – April 1922 – resumed trade and economic cooperation – diplomatic relations restored – outstanding claims for war damage dropped – Germany allowed to develop new weapons and train pilots in Russia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Treaty of Berlin in 1926 – renewed earlier treaty of Rapallo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Under TOV – military limited to 100,000 men, not allowed to have air force and navy prevented from using submarines and large battleships – Rhineland demilitarised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Ways to get around this – new fortifications built alongside Polish border – recruit to army for short periods with intensive training – army sponsored parliamentary groups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Kellogg-Briand Pact 1928 –with France and USA - state renounced use of offensive wars to resolve disputes </w:t>
            </w:r>
          </w:p>
          <w:p w:rsidR="00133419" w:rsidRDefault="00133419" w:rsidP="00133419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>end of allied occupation by 1930</w:t>
            </w:r>
          </w:p>
        </w:tc>
      </w:tr>
    </w:tbl>
    <w:p w:rsidR="008423D1" w:rsidRDefault="008423D1"/>
    <w:sectPr w:rsidR="008423D1" w:rsidSect="009F6903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58C"/>
    <w:multiLevelType w:val="hybridMultilevel"/>
    <w:tmpl w:val="D8FA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F0"/>
    <w:rsid w:val="00133419"/>
    <w:rsid w:val="004770FF"/>
    <w:rsid w:val="007F55AC"/>
    <w:rsid w:val="008423D1"/>
    <w:rsid w:val="009F6903"/>
    <w:rsid w:val="00F4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</cp:revision>
  <dcterms:created xsi:type="dcterms:W3CDTF">2019-06-01T12:28:00Z</dcterms:created>
  <dcterms:modified xsi:type="dcterms:W3CDTF">2019-06-01T13:18:00Z</dcterms:modified>
</cp:coreProperties>
</file>