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FXBody"/>
        <w:keepLines w:val="0"/>
        <w:widowControl/>
        <w:spacing w:after="80" w:line="252" w:lineRule="auto"/>
      </w:pPr>
      <w:r>
        <w:rPr>
          <w:rFonts w:ascii="Calibri" w:hAnsi="Calibri"/>
          <w:b/>
          <w:bCs/>
          <w:color w:val="000000"/>
          <w:sz w:val="21"/>
          <w:szCs w:val="36"/>
        </w:rPr>
        <w:t xml:space="preserve">Systemic FX Compression &amp; Gold Proxy Revaluation Framework</w:t>
      </w:r>
    </w:p>
    <w:p>
      <w:pPr>
        <w:pStyle w:val="FXBody"/>
        <w:keepLines w:val="0"/>
        <w:widowControl/>
        <w:spacing w:after="120" w:line="252" w:lineRule="auto"/>
      </w:pPr>
      <w:r>
        <w:rPr>
          <w:rFonts w:ascii="Calibri" w:hAnsi="Calibri"/>
          <w:b w:val="0"/>
          <w:i w:val="0"/>
          <w:color w:val="000000"/>
          <w:sz w:val="21"/>
        </w:rPr>
        <w:t>v9.2 - Sentinel Audit &amp; Author-Intent Reconciliation</w:t>
      </w:r>
    </w:p>
    <w:p>
      <w:pPr>
        <w:pStyle w:val="FXBody"/>
        <w:keepLines w:val="0"/>
        <w:widowControl/>
        <w:spacing w:after="280" w:line="252" w:lineRule="auto"/>
      </w:pPr>
      <w:r>
        <w:rPr>
          <w:rFonts w:ascii="Calibri" w:hAnsi="Calibri"/>
          <w:i/>
          <w:iCs/>
          <w:sz w:val="21"/>
          <w:szCs w:val="18"/>
        </w:rPr>
        <w:t>Author: Kaan | Revision: 8 September 2026 | Historical snapshot: 4 August 2026 | CONFIDENTIAL - INTERNAL WORKING MASTER</w:t>
      </w:r>
    </w:p>
    <w:p>
      <w:pPr>
        <w:pStyle w:val="FXHeading2"/>
        <w:keepNext/>
        <w:keepLines w:val="0"/>
        <w:widowControl/>
      </w:pPr>
      <w:r>
        <w:rPr>
          <w:color w:val="000000"/>
        </w:rPr>
        <w:t xml:space="preserve">Abstract</w:t>
      </w:r>
    </w:p>
    <w:p>
      <w:pPr>
        <w:pStyle w:val="FXBody"/>
        <w:keepLines w:val="0"/>
        <w:widowControl/>
        <w:spacing w:after="160" w:line="252" w:lineRule="auto"/>
        <w:jc w:val="both"/>
      </w:pPr>
      <w:r>
        <w:rPr>
          <w:rFonts w:ascii="Calibri" w:hAnsi="Calibri"/>
          <w:b w:val="0"/>
          <w:i w:val="0"/>
          <w:sz w:val="21"/>
        </w:rPr>
        <w:t>Here is what v9.2 does: it puts the framework through its own Stone Sentinel process. The evidence layer starts empty because that is where the objections enter. Then we follow the supplied evidence through ownership, mechanism, the competing explanation and falsification. Camp Inversion, TRY-protection, the economic and psychological trust stacks, Milo, and my gold/Buffett scenario gauges all stay. The audit repairs sign, unit, attribution and inherited-rule conflicts, restores the dynamic Buffett reference, and records the completed challenges in Appendix L. It adds no numerical release forecast or new primary threshold.</w:t>
      </w:r>
    </w:p>
    <w:p>
      <w:pPr>
        <w:pStyle w:val="FXBody"/>
        <w:keepLines w:val="0"/>
        <w:widowControl/>
        <w:spacing w:after="160" w:line="252" w:lineRule="auto"/>
        <w:jc w:val="both"/>
      </w:pPr>
      <w:r>
        <w:rPr>
          <w:rFonts w:ascii="Calibri" w:hAnsi="Calibri"/>
          <w:b w:val="false"/>
          <w:bCs w:val="false"/>
          <w:i w:val="false"/>
          <w:iCs w:val="false"/>
          <w:sz w:val="21"/>
        </w:rPr>
        <w:t>The 8 September 2026 verdict is straightforward: the adversarial testing architecture survives. The shadow-capture magnitude and the economic mapping into release are still unresolved. The 4 August verdict belongs to 4 August; it is not a September reading. We did not obtain complete matched persistence series, so current primary-gate activation and full falsification remain indeterminate. Selected primary evidence and explicit counterfactual calculations did get tested. Those results are in Appendix L.</w:t>
      </w:r>
    </w:p>
    <w:p>
      <w:pPr>
        <w:pStyle w:val="FXBody"/>
        <w:keepLines w:val="0"/>
        <w:widowControl/>
        <w:spacing w:line="252" w:lineRule="auto"/>
      </w:pPr>
      <w:r>
        <w:rPr>
          <w:rFonts w:ascii="Calibri" w:hAnsi="Calibri"/>
          <w:b w:val="0"/>
          <w:i w:val="0"/>
          <w:sz w:val="21"/>
        </w:rPr>
        <w:t>Start with Appendix L for this audit, my recovered intent, the populated challenge ledger and the conditional fiscal shock. The repairs then run through the main chapters. A dated market or legal statement stays a claim from that date unless this edition explicitly refreshes it. Keep the distinction clear: some entrances were deliberately left open for evidence; accidental contradictions still need fixing.</w:t>
      </w:r>
    </w:p>
    <w:p>
      <w:pPr>
        <w:pStyle w:val="FXHeading1"/>
        <w:widowControl/>
      </w:pPr>
      <w:r>
        <w:rPr>
          <w:color w:val="000000"/>
        </w:rPr>
        <w:t>Audit authority and recovered intent</w:t>
      </w:r>
    </w:p>
    <w:p>
      <w:pPr>
        <w:pStyle w:val="FXBody"/>
        <w:widowControl/>
        <w:spacing w:line="252" w:lineRule="auto"/>
      </w:pPr>
      <w:r>
        <w:rPr>
          <w:rFonts w:ascii="Calibri" w:hAnsi="Calibri"/>
          <w:sz w:val="21"/>
        </w:rPr>
        <w:t>I supplied the thesis and the corrections. Successive assistants did much of the formalization and operation. If I accepted an added rule, that tells us where the rule got its authority; it does not prove empirical calibration. The 8 September interview reconstructs my intent from my account. It cannot be backdated into prediction evidence.</w:t>
      </w:r>
    </w:p>
    <w:p>
      <w:pPr>
        <w:pStyle w:val="FXBody"/>
        <w:widowControl/>
        <w:spacing w:line="252" w:lineRule="auto"/>
      </w:pPr>
      <w:r>
        <w:rPr>
          <w:rFonts w:ascii="Calibri" w:hAnsi="Calibri"/>
          <w:sz w:val="21"/>
        </w:rPr>
        <w:t>The economic mechanism defence zone, the psychological/institutional trust stack, and the Stone Sentinel challenge process work together. This is a reading map. It does not mean I suddenly supplied a new list of three scholars or replaced the sovereign pillars.</w:t>
      </w:r>
    </w:p>
    <w:p>
      <w:pPr>
        <w:pStyle w:val="FXBody"/>
        <w:widowControl/>
        <w:spacing w:line="252" w:lineRule="auto"/>
      </w:pPr>
      <w:r>
        <w:rPr>
          <w:rFonts w:ascii="Calibri" w:hAnsi="Calibri"/>
          <w:sz w:val="21"/>
        </w:rPr>
        <w:t>The soft belly is deliberate: the data layer starts unpopulated. Bring the expected objection through it before calling the empty field a defect. A blank can be the entrance. If the verdict is confirmation, evidence has to be there at the exit. Appendix L records eight completed passages.</w:t>
      </w:r>
    </w:p>
    <w:p>
      <w:pPr>
        <w:pStyle w:val="FXBody"/>
        <w:widowControl/>
        <w:spacing w:line="252" w:lineRule="auto"/>
      </w:pPr>
      <w:r>
        <w:rPr>
          <w:rFonts w:ascii="Calibri" w:hAnsi="Calibri"/>
          <w:sz w:val="21"/>
        </w:rPr>
        <w:t>For current use, follow my recovered conventions and the passages explicitly corrected in v9.2. Historical examples and the version table keep their dates and provenance. The primary DXY, gold, CDS, corridor and corroborated-falsification thresholds stay. If an auxiliary calculation lacks support, mark it non-operative. Do not invent inputs to make it run.</w:t>
      </w:r>
    </w:p>
    <w:p>
      <w:pPr>
        <w:pStyle w:val="FXHeading1"/>
        <w:keepNext/>
        <w:keepLines w:val="0"/>
        <w:widowControl/>
      </w:pPr>
      <w:r>
        <w:rPr>
          <w:color w:val="000000"/>
        </w:rPr>
        <w:t xml:space="preserve">1. Introduction</w:t>
      </w:r>
    </w:p>
    <w:p>
      <w:pPr>
        <w:pStyle w:val="FXBody"/>
        <w:keepLines w:val="0"/>
        <w:widowControl/>
        <w:spacing w:after="160" w:line="252" w:lineRule="auto"/>
        <w:jc w:val="both"/>
      </w:pPr>
      <w:r>
        <w:rPr>
          <w:rFonts w:ascii="Calibri" w:hAnsi="Calibri"/>
          <w:b w:val="0"/>
          <w:i w:val="0"/>
          <w:sz w:val="21"/>
        </w:rPr>
        <w:t>My starting question is whether we are reading emerging-market FX from the wrong end. Domestic fundamentals matter, but global USD liquidity, collateral valuation and reserve-system mechanics may be applying the upstream pressure. Domestic policy then determines how much gets through, how much is contained, and how much is deferred. Türkiye is the main case because TRY is the currency in my own pocket. That gives me a reason to investigate it and familiarity with the setting. It gives the case no special right to be correct.</w:t>
      </w:r>
    </w:p>
    <w:p>
      <w:pPr>
        <w:pStyle w:val="FXBody"/>
        <w:keepLines w:val="0"/>
        <w:widowControl/>
        <w:spacing w:after="160" w:line="252" w:lineRule="auto"/>
        <w:jc w:val="both"/>
      </w:pPr>
      <w:r>
        <w:rPr>
          <w:rFonts w:ascii="Calibri" w:hAnsi="Calibri"/>
          <w:b w:val="0"/>
          <w:i w:val="0"/>
          <w:sz w:val="21"/>
        </w:rPr>
        <w:t>I started on the Türkiye side, looking at apparent USD skew. Then the question moved upstream: why did American rates and USD reference pricing look broken? On 15 August 2025, a Heresy Financial presentation about proposed US gold-certificate revaluation set off the system-level investment alarm. That is the Simon-the-Digger principle here: even a small possibility deserves a full-depth investigation if the consequence could overturn the monetary map. Do not shrink the consequence to the opening percentage. The screenshot preserved on 16 August records that gold pivot and discovery lead. It is neither the start of the Türkiye inquiry nor final source authority. Gold became the main focus after the underlying legislative mechanism survived the first verification.</w:t>
      </w:r>
    </w:p>
    <w:p>
      <w:pPr>
        <w:pStyle w:val="FXHeading2"/>
        <w:keepNext/>
        <w:keepLines w:val="0"/>
        <w:widowControl/>
      </w:pPr>
      <w:r>
        <w:rPr>
          <w:rFonts w:ascii="Aptos" w:hAnsi="Aptos"/>
          <w:b w:val="0"/>
          <w:i w:val="0"/>
          <w:color w:val="000000"/>
          <w:sz w:val="21"/>
        </w:rPr>
        <w:t>1.1 Genesis Exhibit and Shadow-Peg Doctrine (reconstructed in v9.0)</w:t>
      </w:r>
    </w:p>
    <w:p>
      <w:pPr>
        <w:pStyle w:val="FXBody"/>
        <w:keepLines w:val="0"/>
        <w:widowControl/>
        <w:spacing w:line="252" w:lineRule="auto"/>
      </w:pPr>
      <w:r>
        <w:rPr>
          <w:rFonts w:ascii="Calibri" w:hAnsi="Calibri"/>
          <w:b w:val="0"/>
          <w:i w:val="0"/>
          <w:sz w:val="21"/>
        </w:rPr>
        <w:t>Keep the Genesis Exhibit as the thing I actually encountered, including the framing I first saw. Then go to the underlying bill for the mechanism and institutional owner, legislative history for status, and later official research and policy records for corroboration or contradiction. Correct the attribution where needed. Do not erase the exhibit's place in the history just because it is not the final authority.</w:t>
      </w:r>
    </w:p>
    <w:p>
      <w:pPr>
        <w:pStyle w:val="FXBody"/>
        <w:keepLines w:val="0"/>
        <w:widowControl/>
        <w:spacing w:line="252" w:lineRule="auto"/>
      </w:pPr>
      <w:r>
        <w:rPr>
          <w:rFonts w:ascii="Calibri" w:hAnsi="Calibri"/>
          <w:b w:val="0"/>
          <w:i w:val="0"/>
          <w:sz w:val="21"/>
        </w:rPr>
        <w:t>Türkiye entered through a very ordinary question: what would this suspected reference-system pressure do to the currency in my pocket? TRY became the home observation frame. The administered corridor, reserves, swaps, deposit composition, sterilization, credit pricing and capital flows became the first transmission laboratory. The American gold mechanism did not logically pick Türkiye for me. Türkiye also cannot prove the American diagnosis on its own.</w:t>
      </w:r>
    </w:p>
    <w:p>
      <w:pPr>
        <w:pStyle w:val="FXBody"/>
        <w:keepLines w:val="0"/>
        <w:widowControl/>
        <w:spacing w:after="160" w:line="252" w:lineRule="auto"/>
        <w:jc w:val="both"/>
      </w:pPr>
      <w:r>
        <w:rPr>
          <w:rFonts w:ascii="Calibri" w:hAnsi="Calibri"/>
          <w:sz w:val="21"/>
        </w:rPr>
        <w:t>The shadow-buffer idea is TRY protection. I am asking whether Türkiye is insulated from the disruption an unbuffered USD/TRY inversion could cause. The focus therefore moves from defending USD to defending the TRY economy. My proposed shadow capture is roughly 11 times or more, with S_current/S_baseline as the candidate final buffer ratio. The magnitude and baseline are still unverified. In the recovered account, I did not originate the 4-10 and 340-460+ TRY per USD ranges. Those remain legacy model-generated scenario labels, not inferred prices.</w:t>
      </w:r>
    </w:p>
    <w:p>
      <w:pPr>
        <w:pStyle w:val="FXBody"/>
        <w:keepLines w:val="0"/>
        <w:widowControl/>
        <w:spacing w:after="160" w:line="252" w:lineRule="auto"/>
        <w:jc w:val="both"/>
      </w:pPr>
      <w:r>
        <w:rPr>
          <w:rFonts w:ascii="Calibri" w:hAnsi="Calibri"/>
          <w:b w:val="0"/>
          <w:i w:val="0"/>
          <w:sz w:val="21"/>
        </w:rPr>
        <w:t>The buffer is temporary in the hypothesis because its purpose may change when the reference asset re-anchors or containment fails. I am not claiming access to sovereign intent, and this gives us no derived expiry date. The USD-side gates ask whether the reference distortion is resolving. The TL-side evidence and fiscal ledger ask whether Türkiye can transmit that resolution in an orderly way.</w:t>
      </w:r>
    </w:p>
    <w:p>
      <w:pPr>
        <w:pStyle w:val="FXBody"/>
        <w:keepLines w:val="0"/>
        <w:widowControl/>
        <w:spacing w:after="160" w:line="252" w:lineRule="auto"/>
        <w:jc w:val="both"/>
      </w:pPr>
      <w:r>
        <w:rPr>
          <w:rFonts w:ascii="Calibri" w:hAnsi="Calibri"/>
          <w:b w:val="0"/>
          <w:i w:val="0"/>
          <w:sz w:val="21"/>
        </w:rPr>
        <w:t>The hostile question belongs here: why would a sovereign keep compression going indefinitely? Camp Inversion says the corridor is a temporary buffer against a mispriced reference asset. The Conventional Null says managed depreciation, inflation differentials, risk premia, reserves, sterilization and capital-flow management may explain the same tape without stored USD-side distortion. Both enter the maze. Frozen predictions and evidence that separates them decide who earns trust.</w:t>
      </w:r>
    </w:p>
    <w:p>
      <w:pPr>
        <w:pStyle w:val="FXHeading2"/>
        <w:keepNext/>
        <w:keepLines w:val="0"/>
        <w:widowControl/>
      </w:pPr>
      <w:r>
        <w:rPr>
          <w:color w:val="000000"/>
        </w:rPr>
        <w:t xml:space="preserve">1.2 The Camp Inversion: TL as Forced Stable Anchor (new in v7.6.2)</w:t>
      </w:r>
    </w:p>
    <w:p>
      <w:pPr>
        <w:pStyle w:val="FXBody"/>
        <w:keepLines w:val="0"/>
        <w:widowControl/>
        <w:spacing w:after="160" w:line="252" w:lineRule="auto"/>
        <w:jc w:val="both"/>
      </w:pPr>
      <w:r>
        <w:rPr>
          <w:rFonts w:ascii="Calibri" w:hAnsi="Calibri"/>
          <w:sz w:val="21"/>
        </w:rPr>
        <w:t>Camp Inversion is the lens: treat the TL corridor as the administered anchor and USD as the distorted reference instrument priced against it. That is the doctrine. It does not prove the observed USD/TRY print is objectively wrong. The inversion separates USD-side thesis signals from TL-side administration signals, and every claim still faces the market's right to falsify it.</w:t>
      </w:r>
    </w:p>
    <w:p>
      <w:pPr>
        <w:pStyle w:val="FXBody"/>
        <w:keepLines w:val="0"/>
        <w:widowControl/>
        <w:spacing w:after="160" w:line="252" w:lineRule="auto"/>
        <w:jc w:val="both"/>
      </w:pPr>
      <w:r>
        <w:rPr>
          <w:rFonts w:ascii="Calibri" w:hAnsi="Calibri"/>
          <w:b w:val="0"/>
          <w:i w:val="0"/>
          <w:sz w:val="21"/>
        </w:rPr>
        <w:t>For every signal, ask which side of the ledger it measures. USD-side signals test the inversion thesis; TL-side signals test administration and containment. Domestic fundamentals are still in the room. Inflation differentials, managed depreciation, orthodox stabilization, risk premia, reserves, sterilization and capital flows make up the standing Conventional Null. If both camps can use an observation, neither gets exclusive credit.</w:t>
      </w:r>
    </w:p>
    <w:p>
      <w:pPr>
        <w:pStyle w:val="FXBody"/>
        <w:keepLines w:val="0"/>
        <w:widowControl/>
        <w:spacing w:after="160" w:line="252" w:lineRule="auto"/>
        <w:jc w:val="both"/>
      </w:pPr>
      <w:r>
        <w:rPr>
          <w:rFonts w:ascii="Calibri" w:hAnsi="Calibri"/>
          <w:b/>
          <w:bCs/>
          <w:sz w:val="21"/>
        </w:rPr>
        <w:t>A controlled crawl does not settle the contest. Camp Inversion can explain it, and ordinary stabilization can explain it. We need deposits, policy costs, transaction-adjusted reserves and a predeclared USD-to-TRY transmission sequence to separate the accounts. The old references to a forthcoming June policy print now belong to the dated June-July record. They cannot keep supplying a future confirmation window forever.</w:t>
      </w:r>
    </w:p>
    <w:p>
      <w:pPr>
        <w:pStyle w:val="FXHeading2"/>
        <w:keepNext/>
        <w:keepLines w:val="0"/>
        <w:widowControl/>
      </w:pPr>
      <w:r>
        <w:rPr>
          <w:color w:val="000000"/>
        </w:rPr>
        <w:t xml:space="preserve">1.3 Cross-Frame Invariance: Pre- and Post-Decoupling (new in v7.6.4)</w:t>
      </w:r>
    </w:p>
    <w:p>
      <w:pPr>
        <w:pStyle w:val="FXBody"/>
        <w:keepLines w:val="0"/>
        <w:widowControl/>
        <w:spacing w:after="160" w:line="252" w:lineRule="auto"/>
        <w:jc w:val="both"/>
      </w:pPr>
      <w:r>
        <w:rPr>
          <w:rFonts w:ascii="Calibri" w:hAnsi="Calibri"/>
          <w:b w:val="false"/>
          <w:bCs w:val="false"/>
          <w:sz w:val="21"/>
        </w:rPr>
        <w:t>Changing the denomination does not make different economic channels the same thing. Exact currency translation preserves an accounting identity when quantities, timestamps and definitions match. Whether independently measured channels agree is something we test.</w:t>
      </w:r>
    </w:p>
    <w:p>
      <w:pPr>
        <w:pStyle w:val="FXBody"/>
        <w:keepLines w:val="0"/>
        <w:widowControl/>
        <w:spacing w:after="160" w:line="252" w:lineRule="auto"/>
        <w:jc w:val="both"/>
      </w:pPr>
      <w:r>
        <w:rPr>
          <w:rFonts w:ascii="Calibri" w:hAnsi="Calibri"/>
          <w:sz w:val="21"/>
        </w:rPr>
        <w:t>For each frame f ∈ {USD, CNY, SDR, XAU}, record a frame-specific observable vector M(f) = {m_flow(f), m_price(f), m_policy(f)}. The future transmission term m_release(f) remains uncalibrated. Frames observe different parts of the system; no rule in this edition assumes the components are numerically identical or reducible to one scalar.</w:t>
      </w:r>
    </w:p>
    <w:p>
      <w:pPr>
        <w:pStyle w:val="FXBody"/>
        <w:keepLines w:val="0"/>
        <w:widowControl/>
        <w:spacing w:after="160" w:line="252" w:lineRule="auto"/>
        <w:jc w:val="both"/>
      </w:pPr>
      <w:r>
        <w:rPr>
          <w:rFonts w:ascii="Calibri" w:hAnsi="Calibri"/>
          <w:b/>
          <w:bCs/>
          <w:sz w:val="21"/>
        </w:rPr>
        <w:t>The Two Epochs are proposed analytical regimes: a comparatively coherent dollar-reference regime and a contested-reference regime. They are not verified legal states created by a Trump unpegging announcement. The July 2024 interview and July 2022 euro-dollar parity event are separate observations. Recover a baseline or declare one prospectively. Do not manufacture it by merging the events.</w:t>
      </w:r>
    </w:p>
    <w:p>
      <w:pPr>
        <w:pStyle w:val="FXBody"/>
        <w:keepLines w:val="0"/>
        <w:widowControl/>
        <w:spacing w:after="160" w:line="252" w:lineRule="auto"/>
        <w:jc w:val="both"/>
      </w:pPr>
      <w:r>
        <w:rPr>
          <w:rFonts w:ascii="Calibri" w:hAnsi="Calibri"/>
          <w:b/>
          <w:bCs/>
          <w:sz w:val="21"/>
        </w:rPr>
        <w:t xml:space="preserve">Regime Coherence Gate — R(t). </w:t>
      </w:r>
      <w:r>
        <w:rPr>
          <w:rFonts w:ascii="Calibri" w:hAnsi="Calibri"/>
          <w:b w:val="false"/>
          <w:bCs w:val="false"/>
          <w:sz w:val="21"/>
        </w:rPr>
        <w:t xml:space="preserve">Define global regime coherence state: R(t) = { liquidity_state, policy_state, risk_state }, where liquidity_state captures global USD and cross-border liquidity conditions; policy_state captures rate and central bank directional regime; risk_state captures global risk appetite and collateral stress conditions. Invariance is active only if R(t) ∈ Stable_Regime_Band. Outside that band the system enters Transition State and invariance becomes non-binding.</w:t>
      </w:r>
    </w:p>
    <w:p>
      <w:pPr>
        <w:pStyle w:val="FXBody"/>
        <w:keepLines w:val="0"/>
        <w:widowControl/>
        <w:spacing w:after="160" w:line="252" w:lineRule="auto"/>
        <w:jc w:val="both"/>
      </w:pPr>
      <w:r>
        <w:rPr>
          <w:rFonts w:ascii="Calibri" w:hAnsi="Calibri"/>
          <w:b w:val="false"/>
          <w:bCs w:val="false"/>
          <w:sz w:val="21"/>
        </w:rPr>
        <w:t>We can lock prior-cycle gate states for the next cycle to stop same-cycle relabelling. That is timing discipline, not statistical independence: DXY, CDS and gold still share information with the tests they govern. Publish the full Stable_Regime_Band mapping and measurement cadence before claiming an executable invariance verdict. Until then, R(t) is indeterminate. It cannot excuse a contradiction.</w:t>
      </w:r>
    </w:p>
    <w:p>
      <w:pPr>
        <w:pStyle w:val="FXBody"/>
        <w:keepLines w:val="0"/>
        <w:widowControl/>
        <w:spacing w:after="160" w:line="252" w:lineRule="auto"/>
        <w:jc w:val="both"/>
      </w:pPr>
      <w:r>
        <w:rPr>
          <w:rFonts w:ascii="Calibri" w:hAnsi="Calibri"/>
          <w:sz w:val="21"/>
        </w:rPr>
        <w:t>Frame translation means reconciling evidence. Translate prices with declared exchange rates and matched timestamps. Keep flows, reserves, swaps, collateral and policy actions in their own units and definitions. Matching signs or thresholds can strengthen a reading; it does not make the magnitudes equivalent.</w:t>
      </w:r>
    </w:p>
    <w:p>
      <w:pPr>
        <w:pStyle w:val="FXBody"/>
        <w:keepLines w:val="0"/>
        <w:widowControl/>
        <w:spacing w:after="160" w:line="252" w:lineRule="auto"/>
        <w:jc w:val="both"/>
      </w:pPr>
      <w:r>
        <w:rPr>
          <w:rFonts w:ascii="Calibri" w:hAnsi="Calibri"/>
          <w:sz w:val="21"/>
        </w:rPr>
        <w:t>Inside the Stable_Regime_Band, reconcile denomination and timing, then ask whether the observed components point in compatible directions. Outside it, log divergence as transition evidence. Neither step grants an automatic excuse for divergence or assumes a cross-frame identity.</w:t>
      </w:r>
    </w:p>
    <w:p>
      <w:pPr>
        <w:pStyle w:val="FXBody"/>
        <w:keepLines w:val="0"/>
        <w:widowControl/>
        <w:spacing w:after="160" w:line="252" w:lineRule="auto"/>
        <w:jc w:val="both"/>
      </w:pPr>
      <w:r>
        <w:rPr>
          <w:rFonts w:ascii="Calibri" w:hAnsi="Calibri"/>
          <w:b/>
          <w:bCs/>
          <w:sz w:val="21"/>
        </w:rPr>
        <w:t>Translate the same economic test, with matching units and timestamps. The four primary gates are distinct tests, not interchangeable currency frames. DXY, gold, CDS and corridor agreement means primary-gate alignment. It does not prove frame invariance. C7 must classify divergence as Data Error, Transition Stress, Structural Contradiction or Unresolved; transition is not the automatic answer.</w:t>
      </w:r>
    </w:p>
    <w:p>
      <w:pPr>
        <w:pStyle w:val="FXBody"/>
        <w:keepLines w:val="0"/>
        <w:widowControl/>
        <w:spacing w:after="160" w:line="252" w:lineRule="auto"/>
        <w:jc w:val="both"/>
      </w:pPr>
      <w:r>
        <w:rPr>
          <w:rFonts w:ascii="Calibri" w:hAnsi="Calibri"/>
          <w:sz w:val="21"/>
        </w:rPr>
        <w:t>If frames disagree in a stable regime, check the data definitions. In transition, disagreement may expose different transmission speeds. If it persists without an explanation, suspend cross-frame aggregation. The framework still owes us the balance-sheet or flow channel causing the difference.</w:t>
      </w:r>
    </w:p>
    <w:p>
      <w:pPr>
        <w:pStyle w:val="FXBody"/>
        <w:keepLines w:val="0"/>
        <w:widowControl/>
        <w:spacing w:after="160" w:line="252" w:lineRule="auto"/>
        <w:jc w:val="both"/>
      </w:pPr>
      <w:r>
        <w:rPr>
          <w:rFonts w:ascii="Calibri" w:hAnsi="Calibri"/>
          <w:b/>
          <w:bCs/>
          <w:sz w:val="21"/>
        </w:rPr>
        <w:t xml:space="preserve">1.3.F — Invariance Falsification Clause. </w:t>
      </w:r>
      <w:r>
        <w:rPr>
          <w:rFonts w:ascii="Calibri" w:hAnsi="Calibri"/>
          <w:b w:val="false"/>
          <w:bCs w:val="false"/>
          <w:sz w:val="21"/>
        </w:rPr>
        <w:t xml:space="preserve">The invariance claim is falsified only if any of the following occur:</w:t>
      </w:r>
    </w:p>
    <w:p>
      <w:pPr>
        <w:pStyle w:val="FXBody"/>
        <w:keepLines w:val="0"/>
        <w:widowControl/>
        <w:spacing w:after="40" w:line="252" w:lineRule="auto"/>
        <w:ind w:left="720" w:hanging="360"/>
        <w:jc w:val="both"/>
      </w:pPr>
      <w:r>
        <w:rPr>
          <w:rFonts w:ascii="Calibri" w:hAnsi="Calibri"/>
          <w:b w:val="false"/>
          <w:bCs w:val="false"/>
          <w:sz w:val="21"/>
        </w:rPr>
        <w:t>Persistent sign divergence: compare changes or signed deviations of the same declared component across frames, not the sign of an always-positive price ratio or an undefined universal m. A component, baseline, cycle and stable-regime test must exist before this alert can be calculated. Persistence requirements remain as inherited; missing definitions are indeterminate.</w:t>
      </w:r>
    </w:p>
    <w:p>
      <w:pPr>
        <w:pStyle w:val="FXBody"/>
        <w:keepLines w:val="0"/>
        <w:widowControl/>
        <w:spacing w:after="40" w:line="252" w:lineRule="auto"/>
        <w:ind w:left="720" w:hanging="360"/>
        <w:jc w:val="both"/>
      </w:pPr>
      <w:r>
        <w:rPr>
          <w:rFonts w:ascii="Calibri" w:hAnsi="Calibri"/>
          <w:b w:val="false"/>
          <w:bCs w:val="false"/>
          <w:sz w:val="21"/>
        </w:rPr>
        <w:t xml:space="preserve">•  Threshold state contradiction: T_sys(USD) reads trigger-active while T_sys(f) reads trigger-inactive for the same underlying macro event, persisting beyond one measurement cycle in Stable_Regime_Band. Single-cycle mismatch is noise. Multi-cycle mismatch in stable epoch is structural failure.</w:t>
      </w:r>
    </w:p>
    <w:p>
      <w:pPr>
        <w:pStyle w:val="FXBody"/>
        <w:keepLines w:val="0"/>
        <w:widowControl/>
        <w:spacing w:after="160" w:line="252" w:lineRule="auto"/>
        <w:ind w:left="720" w:hanging="360"/>
        <w:jc w:val="both"/>
      </w:pPr>
      <w:r>
        <w:rPr>
          <w:rFonts w:ascii="Calibri" w:hAnsi="Calibri"/>
          <w:b w:val="false"/>
          <w:bCs w:val="false"/>
          <w:sz w:val="21"/>
        </w:rPr>
        <w:t xml:space="preserve">•  Gold frame isolation: XAU frame readings persistently diverge from both USD and CNY frames simultaneously. This condition is always classified as a gold proxy integrity failure first under §7 and §7B — physical/paper divergence, lease-rate distortion, custodial ambiguity, and encumbrance questions are evaluated there before the invariance layer is implicated. Gold frame isolation escalates to invariance falsification only if the §7/§7B re-evaluation concludes the proxy is intact and isolation persists. Sequencing is mandatory.</w:t>
      </w:r>
    </w:p>
    <w:p>
      <w:pPr>
        <w:pStyle w:val="FXBody"/>
        <w:keepLines w:val="0"/>
        <w:widowControl/>
        <w:spacing w:after="160" w:line="252" w:lineRule="auto"/>
        <w:jc w:val="both"/>
      </w:pPr>
      <w:r>
        <w:rPr>
          <w:rFonts w:ascii="Calibri" w:hAnsi="Calibri"/>
          <w:b w:val="false"/>
          <w:bCs w:val="false"/>
          <w:sz w:val="21"/>
        </w:rPr>
        <w:t xml:space="preserve">Breach protocol: any of the above sustained for two or more consecutive measurement cycles triggers a mandatory §1.3 re-evaluation before threshold conditions are applied to any frame. The failure mode must be classified as transition, data-error, or structural before any operational response. Invariance failure suspends cross-frame reliance. It does not automatically falsify the core thesis.</w:t>
      </w:r>
    </w:p>
    <w:p>
      <w:pPr>
        <w:pStyle w:val="FXBody"/>
        <w:keepLines w:val="0"/>
        <w:widowControl/>
        <w:spacing w:after="160" w:line="252" w:lineRule="auto"/>
        <w:jc w:val="both"/>
      </w:pPr>
      <w:r>
        <w:rPr>
          <w:rFonts w:ascii="Calibri" w:hAnsi="Calibri"/>
          <w:b/>
          <w:bCs/>
          <w:sz w:val="21"/>
        </w:rPr>
        <w:t>1.3.G - Black Swan Frame Translation: CNY to AED/SAR. Preserve the CNY revenue, reserve-purchasing-power and peg-defence stress channels as conditional transmission tests. No CNY dominance or settlement-share claim is presumed. Rebuild each channel from owner-specific contracts, quantities, prices and funding records; compare translated observations only after units and timestamps agree.</w:t>
      </w:r>
    </w:p>
    <w:p>
      <w:pPr>
        <w:pStyle w:val="FXBody"/>
        <w:keepLines w:val="0"/>
        <w:widowControl/>
        <w:spacing w:after="160" w:line="252" w:lineRule="auto"/>
        <w:jc w:val="both"/>
      </w:pPr>
      <w:r>
        <w:rPr>
          <w:rFonts w:ascii="Calibri" w:hAnsi="Calibri"/>
          <w:b/>
          <w:bCs/>
          <w:sz w:val="21"/>
        </w:rPr>
        <w:t xml:space="preserve">Black Swan Definition for Framework Purposes. </w:t>
      </w:r>
      <w:r>
        <w:rPr>
          <w:rFonts w:ascii="Calibri" w:hAnsi="Calibri"/>
          <w:b w:val="false"/>
          <w:bCs w:val="false"/>
          <w:sz w:val="21"/>
        </w:rPr>
        <w:t xml:space="preserve">A black swan event in this framework is not a generic tail risk. It is defined operationally as any shock that simultaneously (a) moves the DXY gate state by more than 3 points within a single measurement cycle; (b) moves the gold proxy by more than 8% within a single measurement cycle; and (c) forces R(t) out of the Stable_Regime_Band as determined by the three gate-state anchors (§1.3). Single-condition shocks are transition signals or noise classifications absorbed by the gate classification system (§2.3, §11.2). A black swan requires all three conditions to fire together — a simultaneous AND-gate failure across the regime coherence layer rather than inside the thesis trigger layer. The simultaneity requirement is deliberate: it prevents routine volatility from triggering black swan protocols and confusing transition-state signals with structural breakdown.</w:t>
      </w:r>
    </w:p>
    <w:p>
      <w:pPr>
        <w:pStyle w:val="FXBody"/>
        <w:keepLines w:val="0"/>
        <w:widowControl/>
        <w:spacing w:after="160" w:line="252" w:lineRule="auto"/>
        <w:jc w:val="both"/>
      </w:pPr>
      <w:r>
        <w:rPr>
          <w:rFonts w:ascii="Calibri" w:hAnsi="Calibri"/>
          <w:sz w:val="21"/>
        </w:rPr>
        <w:t>In normal regime coherence, CNY is a comparison surface for prices, commodity settlement, reserves and gold premia. Under black-swan conditions, give it its own ledger. Do not carry a USD scalar across and call the work finished. Rebuild the price, flow, policy and balance-sheet observations in CNY with matched timestamps and declared units.</w:t>
      </w:r>
    </w:p>
    <w:p>
      <w:pPr>
        <w:pStyle w:val="FXBody"/>
        <w:keepLines w:val="0"/>
        <w:widowControl/>
        <w:numPr>
          <w:ilvl w:val="0"/>
          <w:numId w:val="1"/>
        </w:numPr>
        <w:spacing w:after="160" w:line="252" w:lineRule="auto"/>
        <w:jc w:val="both"/>
      </w:pPr>
      <w:r>
        <w:rPr>
          <w:rFonts w:ascii="Calibri" w:hAnsi="Calibri"/>
          <w:b/>
          <w:bCs/>
          <w:sz w:val="21"/>
        </w:rPr>
        <w:t>Before assigning a CNY oil-revenue channel, establish the contract denomination, settlement currency, export volume, realized price and recipient. A Shanghai benchmark trading or a settlement agreement being announced does not tell us what share of Saudi exports was actually settled in CNY.</w:t>
      </w:r>
    </w:p>
    <w:p>
      <w:pPr>
        <w:pStyle w:val="FXBody"/>
        <w:keepLines w:val="0"/>
        <w:widowControl/>
        <w:numPr>
          <w:ilvl w:val="0"/>
          <w:numId w:val="1"/>
        </w:numPr>
        <w:spacing w:after="160" w:line="252" w:lineRule="auto"/>
        <w:jc w:val="both"/>
      </w:pPr>
      <w:r>
        <w:rPr>
          <w:rFonts w:ascii="Calibri" w:hAnsi="Calibri"/>
          <w:b/>
          <w:bCs/>
          <w:sz w:val="21"/>
        </w:rPr>
        <w:t>PBOC buying and the XAU bridge need separate readings. Official gold acquisitions are one observation; a CNY-market bullion premium is another. A buying streak does not establish an embedded exchange-rate allocation or tell us which premium must lead. Match bullion products, location, taxes, delivery and timestamps before calling proxy isolation.</w:t>
      </w:r>
    </w:p>
    <w:p>
      <w:pPr>
        <w:pStyle w:val="FXBody"/>
        <w:keepLines w:val="0"/>
        <w:widowControl/>
        <w:numPr>
          <w:ilvl w:val="0"/>
          <w:numId w:val="1"/>
        </w:numPr>
        <w:spacing w:after="160" w:line="252" w:lineRule="auto"/>
        <w:jc w:val="both"/>
      </w:pPr>
      <w:r>
        <w:rPr>
          <w:rFonts w:ascii="Calibri" w:hAnsi="Calibri"/>
          <w:b/>
          <w:bCs/>
          <w:sz w:val="21"/>
        </w:rPr>
        <w:t>MEA settlement rerouting is a conditional hypothesis. A USD funding shock may change the route, but realized payments and capital flows have to supply direction and magnitude. An announced agreement proves neither faster flows nor automatic understatement in the USD ledger.</w:t>
      </w:r>
    </w:p>
    <w:p>
      <w:pPr>
        <w:pStyle w:val="FXBody"/>
        <w:keepLines w:val="0"/>
        <w:widowControl/>
        <w:spacing w:after="160" w:line="252" w:lineRule="auto"/>
        <w:jc w:val="both"/>
      </w:pPr>
      <w:r>
        <w:rPr>
          <w:rFonts w:ascii="Calibri" w:hAnsi="Calibri"/>
          <w:sz w:val="21"/>
        </w:rPr>
        <w:t>AED and SAR hard pegs suppress gradual nominal-price discovery. Read stress through reserves and their composition, funding access, settlement flows and defence costs. Under a black swan, the CNY-to-Gulf exercise therefore has three ledgers: revenue denomination, reserve collateral and peg defence. It does not inherit an m-index.</w:t>
      </w:r>
    </w:p>
    <w:p>
      <w:pPr>
        <w:pStyle w:val="FXBody"/>
        <w:keepLines w:val="0"/>
        <w:widowControl/>
        <w:spacing w:after="160" w:line="252" w:lineRule="auto"/>
        <w:jc w:val="both"/>
      </w:pPr>
      <w:r>
        <w:rPr>
          <w:rFonts w:ascii="Calibri" w:hAnsi="Calibri"/>
          <w:b/>
          <w:bCs/>
          <w:sz w:val="21"/>
        </w:rPr>
        <w:t>Path 1 - Revenue Denomination Shock, corrected. Define e as CNY per USD and P as CNY per barrel. USD revenue per barrel equals P/e. At fixed P, CNY appreciation lowers e and R_USD rises; depreciation raises e and R_USD falls. Example: P=700 and e=7 gives $100; e=6 gives $116.67. Government or enterprise oil receipts are not SAMA reserve receipts without an explicit transfer. Multiply by realized export volumes for total receipts; commodity-price and quantity responses remain separate.</w:t>
      </w:r>
    </w:p>
    <w:p>
      <w:pPr>
        <w:pStyle w:val="FXBody"/>
        <w:keepLines w:val="0"/>
        <w:widowControl/>
        <w:spacing w:after="160" w:line="252" w:lineRule="auto"/>
        <w:jc w:val="both"/>
      </w:pPr>
      <w:r>
        <w:rPr>
          <w:rFonts w:ascii="Calibri" w:hAnsi="Calibri"/>
          <w:b/>
          <w:bCs/>
          <w:sz w:val="21"/>
        </w:rPr>
        <w:t>Path 2 - Reserve Purchasing Power, corrected. Compare a declared USD reserve stock with a declared obligation basket. Its basket purchasing power is Reserves_USD multiplied by e_CNYperUSD and divided by P_basket_CNY. This produces basket units, not USD. Do not divide a USD-denominated Omega numerator by that result. Convert and deflate both legs consistently to obtain a comparable ratio, or report reserve purchasing power separately. Exposure owners and encumbrances remain explicit.</w:t>
      </w:r>
    </w:p>
    <w:p>
      <w:pPr>
        <w:pStyle w:val="FXBody"/>
        <w:keepLines w:val="0"/>
        <w:widowControl/>
        <w:spacing w:after="160" w:line="252" w:lineRule="auto"/>
        <w:jc w:val="both"/>
      </w:pPr>
      <w:r>
        <w:rPr>
          <w:rFonts w:ascii="Calibri" w:hAnsi="Calibri"/>
          <w:b/>
          <w:bCs/>
          <w:sz w:val="21"/>
        </w:rPr>
        <w:t>Path 3 - Peg Defence Cost, corrected. PDCR equals positive reserve resources used for defence during a declared interval divided by government/enterprise foreign-currency receipts during that same interval, with the consolidation perimeter explicit. Translate both legs at the same exchange rate and the ratio is unchanged. The legacy PDCR(CNY)&gt;3 times PDCR(USD) cannot be triggered by denomination alone. It is non-operative until genuinely different exposure baskets, settlement terms or timing define commensurate measures. A volume shock can worsen the ratio; CNY appreciation alone does not establish that result.</w:t>
      </w:r>
    </w:p>
    <w:p>
      <w:pPr>
        <w:pStyle w:val="FXBody"/>
        <w:keepLines w:val="0"/>
        <w:widowControl/>
        <w:spacing w:after="160" w:line="252" w:lineRule="auto"/>
        <w:jc w:val="both"/>
      </w:pPr>
      <w:r>
        <w:rPr>
          <w:rFonts w:ascii="Calibri" w:hAnsi="Calibri"/>
          <w:sz w:val="21"/>
        </w:rPr>
        <w:t>Operational protocol during a black swan event. When the black-swan AND gate fires: (1) rebuild price, flow, policy, and balance-sheet observations independently in USD and CNY frames; (2) compute αsar only from declared, unit-consistent inputs; (3) compare peg-defence costs and reserve changes without netting unlike instruments; (4) monitor the CNY-XAU premium as a distinct gold-frame signal; and (5) require two consecutive stable cycles before ordinary cross-frame aggregation resumes. CNY evidence may alter route ranking, but it cannot override the §12 falsification ledger.</w:t>
      </w:r>
    </w:p>
    <w:p>
      <w:pPr>
        <w:pStyle w:val="FXBody"/>
        <w:keepLines w:val="0"/>
        <w:widowControl/>
        <w:spacing w:after="160" w:line="252" w:lineRule="auto"/>
        <w:jc w:val="both"/>
      </w:pPr>
      <w:r>
        <w:rPr>
          <w:rFonts w:ascii="Calibri" w:hAnsi="Calibri"/>
          <w:b/>
          <w:bCs/>
          <w:sz w:val="21"/>
        </w:rPr>
        <w:t>Cross-frame escalation status. The legacy 2-times alpha and 3-times PDCR comparisons remain recorded as inherited proposals but are suspended as numerical tests pending commensurate definitions. This corrects a unit defect rather than changing a primary gate. C7 still records raw revenue, funding and reserve stress immediately. Missing frame inputs remain Unresolved; no adverse observation is discarded.</w:t>
      </w:r>
    </w:p>
    <w:p>
      <w:pPr>
        <w:pStyle w:val="FXBody"/>
        <w:keepLines w:val="0"/>
        <w:widowControl/>
        <w:spacing w:after="160" w:line="252" w:lineRule="auto"/>
        <w:jc w:val="both"/>
      </w:pPr>
      <w:r>
        <w:rPr>
          <w:rFonts w:ascii="Calibri" w:hAnsi="Calibri"/>
          <w:sz w:val="21"/>
        </w:rPr>
        <w:t>The core idea is one macro system seen through several imperfect measurement frames. Pressure, containment and release are the common doctrine; there is no universal scalar. Each currency entry owes us its own baseline, captured-flow evidence, policy operations, fiscal and external exposures, corridor rule and falsification hooks. TRY stays the calibration case because its administration is unusually observable. I am not claiming universal mathematical derivation.</w:t>
      </w:r>
    </w:p>
    <w:p>
      <w:pPr>
        <w:pStyle w:val="FXHeading1"/>
        <w:keepNext/>
        <w:keepLines w:val="0"/>
        <w:widowControl/>
      </w:pPr>
      <w:r>
        <w:rPr>
          <w:color w:val="000000"/>
        </w:rPr>
        <w:t xml:space="preserve">2. Core Definitions &amp; Notation (v7.6 Normalised)</w:t>
      </w:r>
    </w:p>
    <w:p>
      <w:pPr>
        <w:pStyle w:val="FXHeading2"/>
        <w:keepNext/>
        <w:keepLines w:val="0"/>
        <w:widowControl/>
      </w:pPr>
      <w:r>
        <w:rPr>
          <w:rFonts w:ascii="Aptos" w:hAnsi="Aptos"/>
          <w:color w:val="000000"/>
        </w:rPr>
        <w:t>2.1 Observable Engine: Four Separated Variables (v8.5)</w:t>
      </w:r>
    </w:p>
    <w:p>
      <w:pPr>
        <w:pStyle w:val="FXBody"/>
        <w:keepLines w:val="0"/>
        <w:widowControl/>
        <w:spacing w:after="160" w:line="252" w:lineRule="auto"/>
        <w:jc w:val="both"/>
      </w:pPr>
      <w:r>
        <w:rPr>
          <w:rFonts w:ascii="Calibri" w:hAnsi="Calibri"/>
          <w:sz w:val="21"/>
        </w:rPr>
        <w:t>The old shadow multiple m cannot do every job. v8.5 separates four measured objects. They may move together, but that does not make them numerically identical or interchangeable. None gets multiplied into an endpoint without an independently specified transmission model.</w:t>
      </w:r>
    </w:p>
    <w:p>
      <w:pPr>
        <w:pStyle w:val="FXBody"/>
        <w:keepLines w:val="0"/>
        <w:widowControl/>
        <w:numPr>
          <w:ilvl w:val="0"/>
          <w:numId w:val="2"/>
        </w:numPr>
        <w:spacing w:after="100" w:line="252" w:lineRule="auto"/>
        <w:jc w:val="both"/>
      </w:pPr>
      <w:r>
        <w:rPr>
          <w:rFonts w:ascii="Calibri" w:hAnsi="Calibri"/>
          <w:sz w:val="21"/>
        </w:rPr>
        <w:t>m_flow is the documented captured-flow ratio. Put demonstrably captured, surrendered, swapped, converted or otherwise state-routed FX flows in the numerator. Put total eligible inflows for the same perimeter and window in the denominator. Report coverage, source and missing categories alongside the ratio. A corridor holding is not a substitute for either measurement. Without both, m_flow is indeterminate.</w:t>
      </w:r>
    </w:p>
    <w:p>
      <w:pPr>
        <w:pStyle w:val="FXBody"/>
        <w:keepLines w:val="0"/>
        <w:widowControl/>
        <w:numPr>
          <w:ilvl w:val="0"/>
          <w:numId w:val="2"/>
        </w:numPr>
        <w:spacing w:after="100" w:line="252" w:lineRule="auto"/>
        <w:jc w:val="both"/>
      </w:pPr>
      <w:r>
        <w:rPr>
          <w:rFonts w:ascii="Calibri" w:hAnsi="Calibri"/>
          <w:sz w:val="21"/>
        </w:rPr>
        <w:t>m_price measures observed FX displacement from a declared baseline. The default is rolling median[FX(t−i) / FX_base] over a declared window. State the pair, quote direction, baseline dates, series and nominal-or-real treatment. This tells us the price ratio. It does not tell us fair value or captured pressure.</w:t>
      </w:r>
    </w:p>
    <w:p>
      <w:pPr>
        <w:pStyle w:val="FXBody"/>
        <w:keepLines w:val="0"/>
        <w:widowControl/>
        <w:numPr>
          <w:ilvl w:val="0"/>
          <w:numId w:val="2"/>
        </w:numPr>
        <w:spacing w:after="100" w:line="252" w:lineRule="auto"/>
        <w:jc w:val="both"/>
      </w:pPr>
      <w:r>
        <w:rPr>
          <w:rFonts w:ascii="Calibri" w:hAnsi="Calibri"/>
          <w:sz w:val="21"/>
        </w:rPr>
        <w:t>m_policy records how hard intervention and corridor management are working. Keep a component ledger unless a published normalization is adopted: net reserve intervention, swap changes, surrender or conversion rules, sterilization, rate and macroprudential actions, corridor deviation and extraordinary liquidity. Different units do not become one scalar because one number would be convenient.</w:t>
      </w:r>
    </w:p>
    <w:p>
      <w:pPr>
        <w:pStyle w:val="FXBody"/>
        <w:keepLines w:val="0"/>
        <w:widowControl/>
        <w:numPr>
          <w:ilvl w:val="0"/>
          <w:numId w:val="2"/>
        </w:numPr>
        <w:spacing w:after="100" w:line="252" w:lineRule="auto"/>
        <w:jc w:val="both"/>
      </w:pPr>
      <w:r>
        <w:rPr>
          <w:rFonts w:ascii="Calibri" w:hAnsi="Calibri"/>
          <w:sz w:val="21"/>
        </w:rPr>
        <w:t>m_release is the missing part: the mapping from balance sheets and flows into the timing, direction and magnitude of release. It is currently uncalibrated. Until it is estimated and validated out of sample, use it to organize the questions. It cannot produce an FX endpoint, gold target, BIST return or probability.</w:t>
      </w:r>
    </w:p>
    <w:p>
      <w:pPr>
        <w:pStyle w:val="FXBody"/>
        <w:keepLines w:val="0"/>
        <w:widowControl/>
        <w:spacing w:line="252" w:lineRule="auto"/>
      </w:pPr>
      <w:r>
        <w:rPr>
          <w:rFonts w:ascii="Calibri" w:hAnsi="Calibri"/>
          <w:sz w:val="21"/>
        </w:rPr>
        <w:t>The engine gives us four columns. Sequence selects the route; balance-sheet and flow evidence price it. Before any future composite becomes operative, declare its form, units, estimation sample, uncertainty, stability tests and falsification rule.</w:t>
      </w:r>
    </w:p>
    <w:p>
      <w:pPr>
        <w:pStyle w:val="FXHeading2"/>
        <w:keepNext/>
        <w:keepLines w:val="0"/>
        <w:widowControl/>
      </w:pPr>
      <w:r>
        <w:rPr>
          <w:color w:val="000000"/>
        </w:rPr>
        <w:t xml:space="preserve">2.2 Proxy Trigger</w:t>
      </w:r>
    </w:p>
    <w:p>
      <w:pPr>
        <w:pStyle w:val="FXBody"/>
        <w:keepLines w:val="0"/>
        <w:widowControl/>
        <w:spacing w:after="160" w:line="252" w:lineRule="auto"/>
        <w:jc w:val="both"/>
      </w:pPr>
      <w:r>
        <w:rPr>
          <w:rFonts w:ascii="Calibri" w:hAnsi="Calibri"/>
          <w:b w:val="0"/>
          <w:i w:val="0"/>
          <w:sz w:val="21"/>
        </w:rPr>
        <w:t>A market-priced indicator used to test whether a qualifying gold-price regime is present. Gold above $4,200 activates the price gate; attribution remains separately contested under §7.1A and cannot be inferred from price alone.</w:t>
      </w:r>
    </w:p>
    <w:p>
      <w:pPr>
        <w:pStyle w:val="FXHeading2"/>
        <w:keepNext/>
        <w:keepLines w:val="0"/>
        <w:widowControl/>
      </w:pPr>
      <w:r>
        <w:rPr>
          <w:rFonts w:ascii="Aptos" w:hAnsi="Aptos"/>
          <w:b w:val="0"/>
          <w:i w:val="0"/>
          <w:color w:val="000000"/>
          <w:sz w:val="21"/>
        </w:rPr>
        <w:t>2.2A User-Defined Gold/Statutory Devaluation Envelope (new in v9.1)</w:t>
      </w:r>
    </w:p>
    <w:p>
      <w:pPr>
        <w:pStyle w:val="FXBody"/>
        <w:keepLines w:val="0"/>
        <w:widowControl/>
        <w:spacing w:line="252" w:lineRule="auto"/>
      </w:pPr>
      <w:r>
        <w:rPr>
          <w:rFonts w:ascii="Calibri" w:hAnsi="Calibri"/>
          <w:b w:val="0"/>
          <w:i w:val="0"/>
          <w:sz w:val="21"/>
        </w:rPr>
        <w:t>My envelope compares two dimensionless landmarks built in different ways. It is a bespoke diagnostic. It does not calculate conventional inflation, DXY, equilibrium value, an estimated bound or the dollar's percentage purchasing-power loss against goods and currencies. When I say “floor” and “ceiling” below, those are roles inside the scenario, not statistical minimum and maximum estimates.</w:t>
      </w:r>
    </w:p>
    <w:p>
      <w:pPr>
        <w:pStyle w:val="FXBody"/>
        <w:keepLines w:val="0"/>
        <w:widowControl/>
        <w:spacing w:line="252" w:lineRule="auto"/>
      </w:pPr>
      <w:r>
        <w:rPr>
          <w:rFonts w:ascii="Calibri" w:hAnsi="Calibri"/>
          <w:b w:val="0"/>
          <w:i w:val="0"/>
          <w:sz w:val="21"/>
        </w:rPr>
        <w:t>Author-defined statutory floor: D_floor(t) = G_spot(t) / G_stat, where both prices are declared in USD per fine troy ounce and G_stat = $42.2222 under 31 U.S.C. §5117(b). The units cancel. D_floor is a statutory-to-market gold valuation ratio: how many statutory certificate units fit into the observed market price. It is not by itself an observed USD devaluation factor, purchasing-power loss, release operator, or forecast.</w:t>
      </w:r>
    </w:p>
    <w:p>
      <w:pPr>
        <w:pStyle w:val="FXBody"/>
        <w:keepLines w:val="0"/>
        <w:widowControl/>
        <w:spacing w:line="252" w:lineRule="auto"/>
      </w:pPr>
      <w:r>
        <w:rPr>
          <w:rFonts w:ascii="Calibri" w:hAnsi="Calibri"/>
          <w:b w:val="0"/>
          <w:i w:val="0"/>
          <w:sz w:val="21"/>
        </w:rPr>
        <w:t>For my financial-claims reference, take the current Buffett Indicator as its displayed percentage number, B_display. Set B_ref = 10 times ceil(B_display/10): 233 becomes 240, while 240 stays 240. Record coverage and vintage at every watch. I use that rounded number as the upper comparison reference in this gauge. It is not a hard ceiling, compulsory destination or activation condition. Conventionally, 240% equals 2.40. Using 240 as a stress scalar is my separate convention; it does not establish a conventional 240-times valuation conclusion.</w:t>
      </w:r>
    </w:p>
    <w:p>
      <w:pPr>
        <w:pStyle w:val="FXBody"/>
        <w:keepLines w:val="0"/>
        <w:widowControl/>
        <w:spacing w:line="252" w:lineRule="auto"/>
      </w:pPr>
      <w:r>
        <w:rPr>
          <w:rFonts w:ascii="Calibri" w:hAnsi="Calibri"/>
          <w:b w:val="0"/>
          <w:i w:val="0"/>
          <w:sz w:val="21"/>
        </w:rPr>
        <w:t>Associated reference arithmetic: G_ref_stat = $42.2222 times B_ref. At illustrative B_ref values of 230 and 240 this gives approximately $9,711.11 and $10,133.33. The gold/statutory ratio may sit below, at or above the rounded reference. Crossing has no automatic consequence. The prior compulsory Envelope Inversion/model-break trigger is withdrawn following the author's clarification; historical reference values remain dated examples.</w:t>
      </w:r>
    </w:p>
    <w:p>
      <w:pPr>
        <w:pStyle w:val="FXBody"/>
        <w:keepLines w:val="0"/>
        <w:widowControl/>
        <w:spacing w:line="252" w:lineRule="auto"/>
      </w:pPr>
      <w:r>
        <w:rPr>
          <w:rFonts w:ascii="Calibri" w:hAnsi="Calibri"/>
          <w:b w:val="0"/>
          <w:i w:val="0"/>
          <w:sz w:val="21"/>
        </w:rPr>
        <w:t>The roughly $9,826 result came from a prior model multiplying about $4,094 by 2.40. That is not my original rule as recovered in this audit, and it is not equivalent to spot gold divided by $42.2222. Keep it in the archive as a model-added hypothesis with unresolved derivation. It has no gate or pricing authority.</w:t>
      </w:r>
    </w:p>
    <w:p>
      <w:pPr>
        <w:pStyle w:val="FXHeading2"/>
        <w:keepNext/>
        <w:keepLines w:val="0"/>
        <w:widowControl/>
      </w:pPr>
      <w:r>
        <w:rPr>
          <w:rFonts w:ascii="Aptos" w:hAnsi="Aptos"/>
          <w:b w:val="0"/>
          <w:i w:val="0"/>
          <w:color w:val="000000"/>
          <w:sz w:val="21"/>
        </w:rPr>
        <w:t>2.2B Quote-Direction Transformation — Scenario Map, Not Fair Value (new in v9.1)</w:t>
      </w:r>
    </w:p>
    <w:p>
      <w:pPr>
        <w:pStyle w:val="FXBody"/>
        <w:keepLines w:val="0"/>
        <w:widowControl/>
        <w:spacing w:line="252" w:lineRule="auto"/>
      </w:pPr>
      <w:r>
        <w:rPr>
          <w:rFonts w:ascii="Calibri" w:hAnsi="Calibri"/>
          <w:b w:val="0"/>
          <w:i w:val="0"/>
          <w:sz w:val="21"/>
        </w:rPr>
        <w:t>Let S_t denote the observed USD/TRY quote in TRY per USD. For a declared positive normalization scalar D, the framework records the synthetic transformed quote S̃(D) = S_t / D, still in TRY per USD. Its reciprocal is Ĩ(D) = D / S_t, in USD per TRY and therefore expressed as TRY/USD. Quote direction, observed S_t, D source and vintage, transform, and reciprocal must appear together.</w:t>
      </w:r>
    </w:p>
    <w:p>
      <w:pPr>
        <w:pStyle w:val="FXBody"/>
        <w:keepLines w:val="0"/>
        <w:widowControl/>
        <w:spacing w:line="252" w:lineRule="auto"/>
      </w:pPr>
      <w:r>
        <w:rPr>
          <w:rFonts w:ascii="Calibri" w:hAnsi="Calibri"/>
          <w:b w:val="0"/>
          <w:i w:val="0"/>
          <w:sz w:val="21"/>
        </w:rPr>
        <w:t>Illustration only: with S_t = 48 TRY per USD and D = 300, S* = 48/300 = 0.16 TRY per USD. The reciprocal is I* = 300/48 = 6.25 USD per TRY. The reciprocal is used because the transformed USD/TRY number becomes visually unfamiliar; inversion changes presentation, not arithmetic.</w:t>
      </w:r>
    </w:p>
    <w:p>
      <w:pPr>
        <w:pStyle w:val="FXBody"/>
        <w:keepLines w:val="0"/>
        <w:widowControl/>
        <w:spacing w:line="252" w:lineRule="auto"/>
      </w:pPr>
      <w:r>
        <w:rPr>
          <w:rFonts w:ascii="Calibri" w:hAnsi="Calibri"/>
          <w:b w:val="0"/>
          <w:i w:val="0"/>
          <w:sz w:val="21"/>
        </w:rPr>
        <w:t>S_t/D is my unbuffered-inversion counterfactual: what happens to the TRY economy if that insulation is absent? The reciprocal makes the same scenario easier to read; it supplies no independent signal. This is neither established fair value nor a conventional real exchange rate or forecast. Appendix L separates simple denomination changes from a genuine relative-price shock, then calculates the immediate effects for specific owners under explicitly fixed contracts.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val="true"/>
          <w:tblHeader/>
          <w:cantSplit/>
        </w:trPr>
        <w:tc>
          <w:tcPr>
            <w:tcW w:type="dxa" w:w="2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D</w:t>
            </w:r>
          </w:p>
        </w:tc>
        <w:tc>
          <w:tcPr>
            <w:tcW w:type="dxa" w:w="3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USD/TRY scenario: 48 ÷ D</w:t>
            </w:r>
          </w:p>
        </w:tc>
        <w:tc>
          <w:tcPr>
            <w:tcW w:type="dxa" w:w="40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Reciprocal TRY/USD: D ÷ 48</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230</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0.2087 TRY per USD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4.79 USD per TRY</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240</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0.2000 TRY per USD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5.00 USD per TRY</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284.21</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0.1689 TRY per USD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5.92 USD per TRY</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300</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0.1600 TRY per USD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6.25 USD per TRY</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460</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0.1043 TRY per USD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9.58 USD per TRY</w:t>
            </w:r>
          </w:p>
        </w:tc>
      </w:tr>
    </w:tbl>
    <w:p>
      <w:pPr>
        <w:widowControl/>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val="true"/>
          <w:tblHeader/>
          <w:cantSplit/>
        </w:trPr>
        <w:tc>
          <w:tcPr>
            <w:tcW w:type="dxa" w:w="2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Gold price</w:t>
            </w:r>
          </w:p>
        </w:tc>
        <w:tc>
          <w:tcPr>
            <w:tcW w:type="dxa" w:w="3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Statutory multiple</w:t>
            </w:r>
          </w:p>
        </w:tc>
        <w:tc>
          <w:tcPr>
            <w:tcW w:type="dxa" w:w="4026"/>
            <w:vAlign w:val="center"/>
            <w:shd w:fill="17365D"/>
            <w:shd w:fill="17365D"/>
          </w:tcPr>
          <w:p>
            <w:pPr>
              <w:pStyle w:val="FXTable"/>
              <w:keepNext w:val="0"/>
              <w:keepLines w:val="0"/>
            </w:pPr>
            <w:r>
              <w:rPr>
                <w:rFonts w:ascii="Calibri" w:hAnsi="Calibri"/>
                <w:b/>
                <w:color w:val="FFFFFF"/>
                <w:sz w:val="18"/>
              </w:rPr>
              <w:t>Reference relation (no trigger)</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$4,094 illustrative base</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96.97×</w:t>
            </w:r>
          </w:p>
        </w:tc>
        <w:tc>
          <w:tcPr>
            <w:tcW w:type="dxa" w:w="4026"/>
            <w:vAlign w:val="center"/>
            <w:shd w:fill="FFFFFF"/>
          </w:tcPr>
          <w:p>
            <w:pPr>
              <w:pStyle w:val="FXTable"/>
              <w:keepNext w:val="0"/>
              <w:keepLines w:val="0"/>
            </w:pPr>
            <w:r>
              <w:rPr>
                <w:rFonts w:ascii="Calibri" w:hAnsi="Calibri"/>
                <w:color w:val="222222"/>
                <w:sz w:val="18"/>
              </w:rPr>
              <w:t>Gold/statutory ratio below Buffett landmarks</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$9,711.11</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230×</w:t>
            </w:r>
          </w:p>
        </w:tc>
        <w:tc>
          <w:tcPr>
            <w:tcW w:type="dxa" w:w="4026"/>
            <w:vAlign w:val="center"/>
            <w:shd w:fill="FFFFFF"/>
          </w:tcPr>
          <w:p>
            <w:pPr>
              <w:pStyle w:val="FXTable"/>
              <w:keepNext w:val="0"/>
              <w:keepLines w:val="0"/>
            </w:pPr>
            <w:r>
              <w:rPr>
                <w:rFonts w:ascii="Calibri" w:hAnsi="Calibri"/>
                <w:color w:val="222222"/>
                <w:sz w:val="18"/>
              </w:rPr>
              <w:t>Illustrative rounded reference</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$10,133.33</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240×</w:t>
            </w:r>
          </w:p>
        </w:tc>
        <w:tc>
          <w:tcPr>
            <w:tcW w:type="dxa" w:w="4026"/>
            <w:vAlign w:val="center"/>
            <w:shd w:fill="FFFFFF"/>
          </w:tcPr>
          <w:p>
            <w:pPr>
              <w:pStyle w:val="FXTable"/>
              <w:keepNext w:val="0"/>
              <w:keepLines w:val="0"/>
            </w:pPr>
            <w:r>
              <w:rPr>
                <w:rFonts w:ascii="Calibri" w:hAnsi="Calibri"/>
                <w:color w:val="222222"/>
                <w:sz w:val="18"/>
              </w:rPr>
              <w:t>Illustrative rounded reference</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$12,000</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284.21×</w:t>
            </w:r>
          </w:p>
        </w:tc>
        <w:tc>
          <w:tcPr>
            <w:tcW w:type="dxa" w:w="4026"/>
            <w:vAlign w:val="center"/>
            <w:shd w:fill="FFFFFF"/>
          </w:tcPr>
          <w:p>
            <w:pPr>
              <w:pStyle w:val="FXTable"/>
              <w:keepNext w:val="0"/>
              <w:keepLines w:val="0"/>
            </w:pPr>
            <w:r>
              <w:rPr>
                <w:rFonts w:ascii="Calibri" w:hAnsi="Calibri"/>
                <w:color w:val="222222"/>
                <w:sz w:val="18"/>
              </w:rPr>
              <w:t>Above illustrative 240 reference</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$12,666.66</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300×</w:t>
            </w:r>
          </w:p>
        </w:tc>
        <w:tc>
          <w:tcPr>
            <w:tcW w:type="dxa" w:w="4026"/>
            <w:vAlign w:val="center"/>
            <w:shd w:fill="FFFFFF"/>
          </w:tcPr>
          <w:p>
            <w:pPr>
              <w:pStyle w:val="FXTable"/>
              <w:keepNext w:val="0"/>
              <w:keepLines w:val="0"/>
            </w:pPr>
            <w:r>
              <w:rPr>
                <w:rFonts w:ascii="Calibri" w:hAnsi="Calibri"/>
                <w:color w:val="222222"/>
                <w:sz w:val="18"/>
              </w:rPr>
              <w:t>Named extreme statutory overrun</w:t>
            </w:r>
          </w:p>
        </w:tc>
      </w:tr>
    </w:tbl>
    <w:p>
      <w:pPr>
        <w:pStyle w:val="FXHeading2"/>
        <w:keepNext/>
        <w:keepLines w:val="0"/>
        <w:widowControl/>
      </w:pPr>
      <w:r>
        <w:rPr>
          <w:rFonts w:ascii="Aptos" w:hAnsi="Aptos"/>
          <w:b w:val="0"/>
          <w:i w:val="0"/>
          <w:color w:val="000000"/>
          <w:sz w:val="21"/>
        </w:rPr>
        <w:t>2.3 Milo Murphy Flexibility Modifier — Invariant Unknown-Event Reserve</w:t>
      </w:r>
    </w:p>
    <w:p>
      <w:pPr>
        <w:pStyle w:val="FXBody"/>
        <w:keepLines w:val="0"/>
        <w:widowControl/>
        <w:spacing w:after="160" w:line="252" w:lineRule="auto"/>
        <w:jc w:val="both"/>
      </w:pPr>
      <w:r>
        <w:rPr>
          <w:rFonts w:ascii="Calibri" w:hAnsi="Calibri"/>
          <w:b w:val="0"/>
          <w:i w:val="0"/>
          <w:sz w:val="21"/>
        </w:rPr>
        <w:t>Milo is the standing reminder that reality may contain something the framework has not represented at all. The invariant 10% stays reserved for that. Known shocks go through the gates; an actually unmodelled shock makes us reopen the categories themselves. Golden Dose is separate: an extreme gate configuration that opens a messy-route stress review. It does not determine an endpoint, mathematically or otherwise.</w:t>
      </w:r>
    </w:p>
    <w:p>
      <w:pPr>
        <w:pStyle w:val="FXBody"/>
        <w:keepLines w:val="0"/>
        <w:widowControl/>
        <w:spacing w:after="160" w:line="252" w:lineRule="auto"/>
        <w:jc w:val="both"/>
      </w:pPr>
      <w:r>
        <w:rPr>
          <w:rFonts w:ascii="Calibri" w:hAnsi="Calibri"/>
          <w:b w:val="0"/>
          <w:i w:val="0"/>
          <w:sz w:val="21"/>
        </w:rPr>
        <w:t>Milo Murphy was never retired. I introduced it around v3.0 as an intuitive 10% gut-check because the framework could not model every branch and the trust layer was still immature. The number was never empirically calibrated or reduced. As the framework learned, known shocks moved into gates, ledgers, the Conventional Null or falsifiers. Milo stayed for the next event, actor, mechanism or transmission path we had not represented at all. Keep the jobs separate: the Null owns known alternatives; Unresolved owns known evidence that has not separated the accounts; Milo owns the possibility that our categories are incomplete. It is not the probability that Camp Inversion is wrong, a route weight, market noise or an endpoint term. It can force observation, reclassification, route review or model expansion. It cannot confirm the thesis, rescue a falsified claim, erase adverse evidence, manufacture probability mass or grant endpoint authority.</w:t>
      </w:r>
    </w:p>
    <w:p>
      <w:pPr>
        <w:pStyle w:val="FXHeading2"/>
        <w:keepNext/>
        <w:keepLines w:val="0"/>
        <w:widowControl/>
      </w:pPr>
      <w:r>
        <w:rPr>
          <w:color w:val="000000"/>
        </w:rPr>
        <w:t xml:space="preserve">2.3A Golden Dose — Reclassified (v8.1.3)</w:t>
      </w:r>
    </w:p>
    <w:p>
      <w:pPr>
        <w:pStyle w:val="FXBody"/>
        <w:keepLines w:val="0"/>
        <w:widowControl/>
        <w:spacing w:after="160" w:line="252" w:lineRule="auto"/>
        <w:jc w:val="both"/>
      </w:pPr>
      <w:r>
        <w:rPr>
          <w:rFonts w:ascii="Calibri" w:hAnsi="Calibri"/>
          <w:sz w:val="21"/>
        </w:rPr>
        <w:t>Golden Dose opens when realized policy capitulation, black-swan activation, confirmed gold stress and corridor failure align under their persistence rules. Then we inspect the messy route: reserves, swaps, debt service, deposits, sterilization, banks, flows and market capacity. The gate authorizes that review. It does not prove overshoot, pick a destination, invent probability mass or bypass the fiscal ledger. The market can still show that the system absorbs the configuration without the proposed release.</w:t>
      </w:r>
    </w:p>
    <w:p>
      <w:pPr>
        <w:pStyle w:val="FXHeading2"/>
        <w:keepNext/>
        <w:keepLines w:val="0"/>
        <w:widowControl/>
      </w:pPr>
      <w:r>
        <w:rPr>
          <w:color w:val="000000"/>
        </w:rPr>
        <w:t xml:space="preserve">2.4 Sovereign Asset Mutation Factor (αsar) — dimensioned</w:t>
      </w:r>
    </w:p>
    <w:p>
      <w:pPr>
        <w:pStyle w:val="FXBody"/>
        <w:keepLines w:val="0"/>
        <w:widowControl/>
        <w:spacing w:after="160" w:before="80" w:line="252" w:lineRule="auto"/>
        <w:ind w:left="360"/>
      </w:pPr>
      <w:r>
        <w:rPr>
          <w:rFonts w:ascii="Calibri" w:hAnsi="Calibri"/>
          <w:sz w:val="21"/>
        </w:rPr>
        <w:t>α_sar = (Ω_12m · γ_cap) / Net Liquid FX Reserves, with Ω_12m and reserves expressed as same-date USD stocks/amounts and the exact perimeter declared.</w:t>
      </w:r>
    </w:p>
    <w:p>
      <w:pPr>
        <w:pStyle w:val="FXBody"/>
        <w:keepLines w:val="0"/>
        <w:widowControl/>
        <w:spacing w:after="160" w:line="252" w:lineRule="auto"/>
        <w:jc w:val="both"/>
      </w:pPr>
      <w:r>
        <w:rPr>
          <w:rFonts w:ascii="Calibri" w:hAnsi="Calibri"/>
          <w:sz w:val="21"/>
        </w:rPr>
        <w:t>αsar is a dimensionless annual coverage-style stress ratio only when Ω is defined as the cumulative USD amount over a fixed rolling 12-month window and reserves are a same-date USD stock. It is a stress indicator, not proof of a binary transition. If Ω is instead expressed as USD per year, the quotient carries inverse-time units and must not be described as dimensionless.</w:t>
      </w:r>
    </w:p>
    <w:p>
      <w:pPr>
        <w:pStyle w:val="FXHeading2"/>
        <w:keepNext/>
        <w:keepLines w:val="0"/>
        <w:widowControl/>
      </w:pPr>
      <w:r>
        <w:rPr>
          <w:color w:val="000000"/>
        </w:rPr>
        <w:t xml:space="preserve">2.5 Policy Capitulation Vector (γcap) — signed form</w:t>
      </w:r>
    </w:p>
    <w:p>
      <w:pPr>
        <w:pStyle w:val="FXBody"/>
        <w:keepLines w:val="0"/>
        <w:widowControl/>
        <w:spacing w:after="160" w:before="80" w:line="252" w:lineRule="auto"/>
        <w:ind w:left="360"/>
      </w:pPr>
      <w:r>
        <w:rPr>
          <w:rFonts w:ascii="Calibri" w:cs="Consolas" w:eastAsia="Consolas" w:hAnsi="Calibri"/>
          <w:color w:val="3A0000"/>
          <w:sz w:val="21"/>
          <w:szCs w:val="20"/>
        </w:rPr>
        <w:t xml:space="preserve">γ_cap = 1 − sgn(ΔR_G7) · (ΔR_G7 / R₀)²</w:t>
      </w:r>
    </w:p>
    <w:p>
      <w:pPr>
        <w:pStyle w:val="FXBody"/>
        <w:keepLines w:val="0"/>
        <w:widowControl/>
        <w:spacing w:after="160" w:line="252" w:lineRule="auto"/>
        <w:jc w:val="both"/>
      </w:pPr>
      <w:r>
        <w:rPr>
          <w:rFonts w:ascii="Calibri" w:hAnsi="Calibri"/>
          <w:b w:val="false"/>
          <w:bCs w:val="false"/>
          <w:i w:val="false"/>
          <w:iCs w:val="false"/>
          <w:sz w:val="21"/>
        </w:rPr>
        <w:t>The inherited gamma algebra has three regimes: a negative delivered rate change gives gamma&gt;1; zero gives gamma=1; a positive change gives gamma&lt;1. This is a heuristic weighting function, not an estimated capital-flow response. R0 must be nonzero, and we need the G7 aggregation, weights and window. Hikes exceeding R0 make gamma negative, which rules out treating it as a nonnegative flow multiplier. Undefined or out-of-domain versions stay non-operative. Report realized policy changes directly.</w:t>
      </w:r>
    </w:p>
    <w:p>
      <w:pPr>
        <w:pStyle w:val="FXBody"/>
        <w:keepLines w:val="0"/>
        <w:widowControl/>
        <w:spacing w:after="160" w:line="252" w:lineRule="auto"/>
        <w:jc w:val="both"/>
      </w:pPr>
      <w:r>
        <w:rPr>
          <w:rFonts w:ascii="Calibri" w:hAnsi="Calibri"/>
          <w:b/>
          <w:bCs/>
          <w:sz w:val="21"/>
        </w:rPr>
        <w:t>γcap Observability Discipline (updated v8.3). γcap is computed from realized policy-rate changes only. ΔR_G7 is the delivered change, not a market-implied expectation. Expectations are tracked separately with a named contract, observation time, and horizon. On 29 July 2026 the FOMC held at 3.50–3.75% by 9–3; realized γcap remains dormant, while three hike dissents create a hawkish expectation signal. That divergence is adverse to the orderly route but is neither a realized hike nor capitulation.</w:t>
      </w:r>
      <w:r>
        <w:rPr>
          <w:rFonts w:ascii="Calibri" w:hAnsi="Calibri"/>
          <w:sz w:val="21"/>
        </w:rPr>
      </w:r>
    </w:p>
    <w:p>
      <w:pPr>
        <w:pStyle w:val="FXHeading2"/>
        <w:keepNext/>
        <w:keepLines w:val="0"/>
        <w:widowControl/>
      </w:pPr>
      <w:r>
        <w:rPr>
          <w:color w:val="000000"/>
        </w:rPr>
        <w:t xml:space="preserve">2.6 Latent Peg Multiple (m_sar)</w:t>
      </w:r>
    </w:p>
    <w:p>
      <w:pPr>
        <w:pStyle w:val="FXBody"/>
        <w:keepLines w:val="0"/>
        <w:widowControl/>
        <w:spacing w:after="160" w:before="80" w:line="252" w:lineRule="auto"/>
        <w:ind w:left="360"/>
      </w:pPr>
      <w:r>
        <w:rPr>
          <w:rFonts w:ascii="Calibri" w:cs="Consolas" w:eastAsia="Consolas" w:hAnsi="Calibri"/>
          <w:color w:val="3A0000"/>
          <w:sz w:val="21"/>
          <w:szCs w:val="20"/>
        </w:rPr>
        <w:t xml:space="preserve">m_sar = PPP-implied SAR/USD ÷ pegged SAR/USD (3.75)</w:t>
      </w:r>
    </w:p>
    <w:p>
      <w:pPr>
        <w:pStyle w:val="FXBody"/>
        <w:keepLines w:val="0"/>
        <w:widowControl/>
        <w:spacing w:after="160" w:line="252" w:lineRule="auto"/>
        <w:jc w:val="both"/>
      </w:pPr>
      <w:r>
        <w:rPr>
          <w:rFonts w:ascii="Calibri" w:hAnsi="Calibri"/>
          <w:b w:val="0"/>
          <w:i w:val="0"/>
          <w:sz w:val="21"/>
        </w:rPr>
        <w:t>m_sar describes PPP relative to the peg. Its meaning depends on the PPP series, base and quote direction. It is not an operative multiplier. Keep the historical squared-release notation only as the uncalibrated conjecture in §12.4, with no authority to price an endpoint.</w:t>
      </w:r>
    </w:p>
    <w:p>
      <w:pPr>
        <w:pStyle w:val="FXHeading2"/>
        <w:keepNext/>
        <w:keepLines w:val="0"/>
        <w:widowControl/>
      </w:pPr>
      <w:r>
        <w:rPr>
          <w:color w:val="000000"/>
        </w:rPr>
        <w:t xml:space="preserve">2.7 Friction Coefficients (μcap) — split form</w:t>
      </w:r>
    </w:p>
    <w:p>
      <w:pPr>
        <w:pStyle w:val="FXBody"/>
        <w:keepLines w:val="0"/>
        <w:widowControl/>
        <w:spacing w:after="160" w:line="252" w:lineRule="auto"/>
        <w:jc w:val="both"/>
      </w:pPr>
      <w:r>
        <w:rPr>
          <w:rFonts w:ascii="Calibri" w:hAnsi="Calibri"/>
          <w:sz w:val="21"/>
        </w:rPr>
        <w:t>Record administrative and kinetic frictions as transmission conditions. They do not automatically multiply the money base. The direction depends on the CBRT/Treasury transaction, settlement path, reserve treatment and sterilization response. Route both channels through §6.2A before assigning a domestic-liquidity or peg-pressure effect.</w:t>
      </w:r>
    </w:p>
    <w:p>
      <w:pPr>
        <w:pStyle w:val="FXHeading2"/>
        <w:keepNext/>
        <w:keepLines w:val="0"/>
        <w:widowControl/>
      </w:pPr>
      <w:r>
        <w:rPr>
          <w:color w:val="000000"/>
        </w:rPr>
        <w:t xml:space="preserve">2.8 Regional Yield Arbitrage Vector (ymea) — unit normalised</w:t>
      </w:r>
    </w:p>
    <w:p>
      <w:pPr>
        <w:pStyle w:val="FXBody"/>
        <w:keepLines w:val="0"/>
        <w:widowControl/>
        <w:spacing w:after="160" w:before="80" w:line="252" w:lineRule="auto"/>
        <w:ind w:left="360"/>
      </w:pPr>
      <w:r>
        <w:rPr>
          <w:rFonts w:ascii="Calibri" w:cs="Consolas" w:eastAsia="Consolas" w:hAnsi="Calibri"/>
          <w:color w:val="3A0000"/>
          <w:sz w:val="21"/>
          <w:szCs w:val="20"/>
        </w:rPr>
        <w:t xml:space="preserve">y_mea = μ_cap(admin) · μ_cap(kinetic) · [ (Y_Sink − Y_Pool − ΔCDS) / (1 + cs(sink)) ]</w:t>
      </w:r>
    </w:p>
    <w:p>
      <w:pPr>
        <w:pStyle w:val="FXBody"/>
        <w:keepLines w:val="0"/>
        <w:widowControl/>
        <w:spacing w:after="160" w:line="252" w:lineRule="auto"/>
        <w:jc w:val="both"/>
      </w:pPr>
      <w:r>
        <w:rPr>
          <w:rFonts w:ascii="Calibri" w:hAnsi="Calibri"/>
          <w:b w:val="false"/>
          <w:bCs w:val="false"/>
          <w:i w:val="false"/>
          <w:iCs w:val="false"/>
          <w:sz w:val="21"/>
        </w:rPr>
        <w:t xml:space="preserve">All terms in decimal annual yield; ΔCDS converted from basis points (÷10,000) before entry. Prior versions mixed percent and basis points within one bracket, silently mis-weighting the credit-premium term by two orders of magnitude in any numerical pass.</w:t>
      </w:r>
    </w:p>
    <w:p>
      <w:pPr>
        <w:pStyle w:val="FXHeading2"/>
        <w:keepNext/>
        <w:keepLines w:val="0"/>
        <w:widowControl/>
      </w:pPr>
      <w:r>
        <w:rPr>
          <w:color w:val="000000"/>
        </w:rPr>
        <w:t>2.9 Cross-Rate and Inversion Arithmetic (new in v8.3)</w:t>
      </w:r>
    </w:p>
    <w:p>
      <w:pPr>
        <w:pStyle w:val="FXBody"/>
        <w:keepLines w:val="0"/>
        <w:widowControl/>
        <w:spacing w:line="252" w:lineRule="auto"/>
      </w:pPr>
      <w:r>
        <w:rPr>
          <w:rFonts w:ascii="Calibri" w:hAnsi="Calibri"/>
          <w:sz w:val="21"/>
        </w:rPr>
        <w:t>Cross-rates are identities, not causal signals. With both quotations expressed consistently: TRY per JPY = USD/TRY ÷ USD/JPY; JPY per TRY = USD/JPY ÷ USD/TRY. Comparisons across time must use indexed, logarithmic, or real changes with a declared base date. Raw numerical symmetry between unlike units has no economic meaning. A reciprocal such as 1/240 is a unit conversion only after the numerator, denominator, and base are declared; a conventional percentage decline cannot exceed 100%. Cross-rate inversion is therefore retained as a translation and error-check surface, never as a primary gate or proof of USD devaluation.</w:t>
      </w:r>
    </w:p>
    <w:p>
      <w:pPr>
        <w:pStyle w:val="FXHeading1"/>
        <w:keepNext/>
        <w:keepLines w:val="0"/>
        <w:widowControl/>
      </w:pPr>
      <w:r>
        <w:rPr>
          <w:color w:val="000000"/>
        </w:rPr>
        <w:t xml:space="preserve">3. Model Architecture</w:t>
      </w:r>
    </w:p>
    <w:p>
      <w:pPr>
        <w:pStyle w:val="FXBody"/>
        <w:keepLines w:val="0"/>
        <w:widowControl/>
        <w:numPr>
          <w:ilvl w:val="0"/>
          <w:numId w:val="2"/>
        </w:numPr>
        <w:spacing w:after="100" w:line="252" w:lineRule="auto"/>
        <w:jc w:val="both"/>
      </w:pPr>
      <w:r>
        <w:rPr>
          <w:rFonts w:ascii="Calibri" w:hAnsi="Calibri"/>
          <w:b/>
          <w:bCs/>
          <w:sz w:val="21"/>
        </w:rPr>
        <w:t xml:space="preserve">Component 1 — Structural Inputs:</w:t>
      </w:r>
      <w:r>
        <w:rPr>
          <w:rFonts w:ascii="Calibri" w:hAnsi="Calibri"/>
          <w:sz w:val="21"/>
        </w:rPr>
        <w:t xml:space="preserve"> PPP collapse, shadow capture, statutory vs market gold price, USD liquidity conditions.</w:t>
      </w:r>
    </w:p>
    <w:p>
      <w:pPr>
        <w:pStyle w:val="FXBody"/>
        <w:keepLines w:val="0"/>
        <w:widowControl/>
        <w:numPr>
          <w:ilvl w:val="0"/>
          <w:numId w:val="2"/>
        </w:numPr>
        <w:spacing w:after="100" w:line="252" w:lineRule="auto"/>
        <w:jc w:val="both"/>
      </w:pPr>
      <w:r>
        <w:rPr>
          <w:rFonts w:ascii="Calibri" w:hAnsi="Calibri"/>
          <w:b/>
          <w:bCs/>
          <w:sz w:val="21"/>
        </w:rPr>
        <w:t xml:space="preserve">Component 2 — Trigger Engine:</w:t>
      </w:r>
      <w:r>
        <w:rPr>
          <w:rFonts w:ascii="Calibri" w:hAnsi="Calibri"/>
          <w:sz w:val="21"/>
        </w:rPr>
        <w:t xml:space="preserve"> DXY, CDS, FX corridor stability, gold proxy.</w:t>
      </w:r>
    </w:p>
    <w:p>
      <w:pPr>
        <w:pStyle w:val="FXBody"/>
        <w:keepLines w:val="0"/>
        <w:widowControl/>
        <w:numPr>
          <w:ilvl w:val="0"/>
          <w:numId w:val="2"/>
        </w:numPr>
        <w:spacing w:after="100" w:line="252" w:lineRule="auto"/>
        <w:jc w:val="both"/>
      </w:pPr>
      <w:r>
        <w:rPr>
          <w:rFonts w:ascii="Calibri" w:hAnsi="Calibri"/>
          <w:b w:val="0"/>
          <w:i w:val="0"/>
          <w:sz w:val="21"/>
        </w:rPr>
        <w:t>Component 3 — FX Compression Engine: separately observed flow capture, price displacement, policy intensity, and an uncalibrated release operator; no legacy shadow multiple may price an endpoint.</w:t>
      </w:r>
    </w:p>
    <w:p>
      <w:pPr>
        <w:pStyle w:val="FXBody"/>
        <w:keepLines w:val="0"/>
        <w:widowControl/>
        <w:numPr>
          <w:ilvl w:val="0"/>
          <w:numId w:val="2"/>
        </w:numPr>
        <w:spacing w:after="100" w:line="252" w:lineRule="auto"/>
        <w:jc w:val="both"/>
      </w:pPr>
      <w:r>
        <w:rPr>
          <w:rFonts w:ascii="Calibri" w:hAnsi="Calibri"/>
          <w:b/>
          <w:bCs/>
          <w:sz w:val="21"/>
        </w:rPr>
        <w:t xml:space="preserve">Component 4 — Scenario Ladder:</w:t>
      </w:r>
      <w:r>
        <w:rPr>
          <w:rFonts w:ascii="Calibri" w:hAnsi="Calibri"/>
          <w:sz w:val="21"/>
        </w:rPr>
        <w:t xml:space="preserve"> orderly and messy paths with Chaos Absorption and Golden Dose gate configuration (§11, restructured v8.1.3).</w:t>
      </w:r>
    </w:p>
    <w:p>
      <w:pPr>
        <w:pStyle w:val="FXBody"/>
        <w:keepLines w:val="0"/>
        <w:widowControl/>
        <w:numPr>
          <w:ilvl w:val="0"/>
          <w:numId w:val="2"/>
        </w:numPr>
        <w:spacing w:after="100" w:line="252" w:lineRule="auto"/>
        <w:jc w:val="both"/>
      </w:pPr>
      <w:r>
        <w:rPr>
          <w:rFonts w:ascii="Calibri" w:hAnsi="Calibri"/>
          <w:b w:val="0"/>
          <w:i w:val="0"/>
          <w:sz w:val="21"/>
        </w:rPr>
        <w:t>Component 5 — Falsification and Identification Layer: C7 contradiction testing, a declared Conventional Null, discriminating evidence, and pre-committed prediction/error scoring.</w:t>
      </w:r>
    </w:p>
    <w:p>
      <w:pPr>
        <w:pStyle w:val="FXBody"/>
        <w:keepLines w:val="0"/>
        <w:widowControl/>
        <w:numPr>
          <w:ilvl w:val="0"/>
          <w:numId w:val="2"/>
        </w:numPr>
        <w:spacing w:after="100" w:line="252" w:lineRule="auto"/>
        <w:jc w:val="both"/>
      </w:pPr>
      <w:r>
        <w:rPr>
          <w:rFonts w:ascii="Calibri" w:hAnsi="Calibri"/>
          <w:b/>
          <w:bCs/>
          <w:sz w:val="21"/>
        </w:rPr>
        <w:t xml:space="preserve">Component 6 — Monitoring Dashboard:</w:t>
      </w:r>
      <w:r>
        <w:rPr>
          <w:rFonts w:ascii="Calibri" w:hAnsi="Calibri"/>
          <w:sz w:val="21"/>
        </w:rPr>
        <w:t xml:space="preserve"> real-time operational signals with daily / intraday tracking (§16).</w:t>
      </w:r>
    </w:p>
    <w:p>
      <w:pPr>
        <w:pStyle w:val="FXBody"/>
        <w:keepLines w:val="0"/>
        <w:widowControl/>
        <w:spacing w:line="252" w:lineRule="auto"/>
      </w:pPr>
      <w:r>
        <w:rPr>
          <w:rFonts w:ascii="Calibri" w:hAnsi="Calibri"/>
          <w:b w:val="0"/>
          <w:i w:val="0"/>
          <w:sz w:val="21"/>
        </w:rPr>
        <w:t>Component 7 — Attribution and Contest Ledger: every material observation is classified as Inversion-favoring, Null-favoring, Shared, Contradictory, or Not Yet Discriminated before it can change route rank.</w:t>
      </w:r>
    </w:p>
    <w:p>
      <w:pPr>
        <w:pStyle w:val="FXBody"/>
        <w:keepLines w:val="0"/>
        <w:widowControl/>
        <w:spacing w:line="252" w:lineRule="auto"/>
      </w:pPr>
      <w:r>
        <w:rPr>
          <w:rFonts w:ascii="Calibri" w:hAnsi="Calibri"/>
          <w:b w:val="0"/>
          <w:i w:val="0"/>
          <w:sz w:val="21"/>
        </w:rPr>
        <w:t>Component 8 — Provenance and Historical Audit: the Genesis Exhibit, chain-of-custody record, version-history tribunal, threshold genealogy, mutation classification, and hindsight firewall.</w:t>
      </w:r>
    </w:p>
    <w:p>
      <w:pPr>
        <w:pStyle w:val="FXHeading1"/>
        <w:keepNext/>
        <w:keepLines w:val="0"/>
        <w:widowControl/>
      </w:pPr>
      <w:r>
        <w:rPr>
          <w:color w:val="000000"/>
        </w:rPr>
        <w:t xml:space="preserve">3A. C7 Kernel — Raw Adversarial Diagnostic Layer (new in v8.1.7)</w:t>
      </w:r>
    </w:p>
    <w:p>
      <w:pPr>
        <w:pStyle w:val="FXBody"/>
        <w:keepLines w:val="0"/>
        <w:widowControl/>
        <w:spacing w:after="160" w:line="252" w:lineRule="auto"/>
        <w:jc w:val="both"/>
      </w:pPr>
      <w:r>
        <w:rPr>
          <w:rFonts w:ascii="Calibri" w:hAnsi="Calibri"/>
          <w:b/>
          <w:bCs/>
          <w:sz w:val="21"/>
        </w:rPr>
        <w:t>C7 is the always-on hostile reviewer. It runs raw contradiction checks in every regime, including transition, black swans and suspended-animation windows when A* (§3B) may have downgraded operational confidence. It does not smooth readings or wait for rolling-median confirmation. Florida, Fort Knox and the Saudi sandbox cannot rescue a failing primary signal. C7 detects danger. A* decides operational status.</w:t>
      </w:r>
      <w:r>
        <w:rPr>
          <w:rFonts w:ascii="Calibri" w:hAnsi="Calibri"/>
          <w:sz w:val="21"/>
        </w:rPr>
      </w:r>
    </w:p>
    <w:p>
      <w:pPr>
        <w:pStyle w:val="FXBody"/>
        <w:keepLines w:val="0"/>
        <w:widowControl/>
        <w:spacing w:after="160" w:line="252" w:lineRule="auto"/>
        <w:jc w:val="both"/>
      </w:pPr>
      <w:r>
        <w:rPr>
          <w:rFonts w:ascii="Calibri" w:hAnsi="Calibri"/>
          <w:b w:val="0"/>
          <w:i w:val="0"/>
          <w:sz w:val="21"/>
        </w:rPr>
        <w:t>C7 has seven non-negotiable rules: (1) Always-on. (2) Raw observation. (3) Full-frame evaluation. (4) No narrative rescue. (5) Single-cycle sensitivity. (6) Mandatory classification. (7) Dual-entry hostility. Read every material signal through Camp Inversion and through the strongest current Conventional Null. Evidence both can use is Shared; neither gets exclusive credit. Log every rescue clause, changed definition or delayed horizon against whichever camp invokes it.</w:t>
      </w:r>
    </w:p>
    <w:p>
      <w:pPr>
        <w:pStyle w:val="FXBody"/>
        <w:keepLines w:val="0"/>
        <w:widowControl/>
        <w:spacing w:after="160" w:line="252" w:lineRule="auto"/>
        <w:jc w:val="both"/>
      </w:pPr>
      <w:r>
        <w:rPr>
          <w:rFonts w:ascii="Calibri" w:hAnsi="Calibri"/>
          <w:b/>
          <w:bCs/>
          <w:sz w:val="21"/>
        </w:rPr>
        <w:t>C7 raw alerts retain the inherited point thresholds: gold below $4,000 together with DXY above 101; TRY CDS above 270 bp; DXY above 103; USD/TRY moving over 8% in one session; and three-month expectation/realized-policy divergence. Component-specific frame disagreement is logged under §1.3.F. Corridor Quality Index &gt;1.5 is non-operative until its formula is supplied. Auxiliary narratives overriding a failed primary leg are misuse alerts. Refer to dashboard metric names, not obsolete signal numbers. Raw alerts force classification; they do not automatically establish sustained falsification.</w:t>
      </w:r>
    </w:p>
    <w:p>
      <w:pPr>
        <w:pStyle w:val="FXBody"/>
        <w:keepLines w:val="0"/>
        <w:widowControl/>
        <w:spacing w:after="160" w:line="252" w:lineRule="auto"/>
        <w:jc w:val="both"/>
      </w:pPr>
      <w:r>
        <w:rPr>
          <w:rFonts w:ascii="Calibri" w:hAnsi="Calibri"/>
          <w:b w:val="0"/>
          <w:i w:val="0"/>
          <w:sz w:val="21"/>
        </w:rPr>
        <w:t>Classify every C7 red alert before the next dashboard cycle closes: Data Error, Measurement Noise, Transition Stress, Structural Contradiction or Unresolved. The market can kill a pre-committed prediction without proving the rival mechanism. Equally, a plausible mechanism earns no route credit until it produces evidence that separates the accounts. C7 does not make the final call. It makes sure a call gets made.</w:t>
      </w:r>
    </w:p>
    <w:p>
      <w:pPr>
        <w:pStyle w:val="FXBody"/>
        <w:keepLines w:val="0"/>
        <w:widowControl/>
        <w:spacing w:after="160" w:line="252" w:lineRule="auto"/>
        <w:jc w:val="both"/>
      </w:pPr>
      <w:r>
        <w:rPr>
          <w:rFonts w:ascii="Calibri" w:hAnsi="Calibri"/>
          <w:b/>
          <w:bCs/>
          <w:sz w:val="21"/>
        </w:rPr>
        <w:t>C7 applies the Judo/BJJ defence architecture (§8) to the framework's own signals. Judo (§8.1) redirects the critique; BJJ (§8.2) takes it to observable data. C7 sends every incoming signal, favorable or adverse, through that same hostile review before A* receives it. Judo and BJJ remain the external posture. C7 turns that posture inward.</w:t>
      </w:r>
      <w:r>
        <w:rPr>
          <w:rFonts w:ascii="Calibri" w:hAnsi="Calibri"/>
          <w:sz w:val="21"/>
        </w:rPr>
      </w:r>
    </w:p>
    <w:p>
      <w:pPr>
        <w:pStyle w:val="FXHeading1"/>
        <w:keepNext/>
        <w:keepLines w:val="0"/>
        <w:widowControl/>
      </w:pPr>
      <w:r>
        <w:rPr>
          <w:color w:val="000000"/>
        </w:rPr>
        <w:t xml:space="preserve">3B. A* Shell — Operational Dashboard and Risk-Use Layer (new in v8.1.7)</w:t>
      </w:r>
    </w:p>
    <w:p>
      <w:pPr>
        <w:pStyle w:val="FXBody"/>
        <w:keepLines w:val="0"/>
        <w:widowControl/>
        <w:spacing w:after="160" w:line="252" w:lineRule="auto"/>
        <w:jc w:val="both"/>
      </w:pPr>
      <w:r>
        <w:rPr>
          <w:rFonts w:ascii="Calibri" w:hAnsi="Calibri"/>
          <w:b/>
          <w:bCs/>
          <w:sz w:val="21"/>
        </w:rPr>
        <w:t>A* handles the operational reading: dashboard clarity, allocation posture, thesis state and real-world signal interpretation. It receives C7's raw readings, applies confirmation discipline, and produces the verdicts used for sizing, continuation and exit or resize decisions. It does not delete C7 alerts. It classifies them and responds under rolling-confirmation and persistence rules.</w:t>
      </w:r>
      <w:r>
        <w:rPr>
          <w:rFonts w:ascii="Calibri" w:hAnsi="Calibri"/>
          <w:sz w:val="21"/>
        </w:rPr>
      </w:r>
    </w:p>
    <w:p>
      <w:pPr>
        <w:pStyle w:val="FXBody"/>
        <w:keepLines w:val="0"/>
        <w:widowControl/>
        <w:spacing w:after="160" w:line="252" w:lineRule="auto"/>
        <w:jc w:val="both"/>
      </w:pPr>
      <w:r>
        <w:rPr>
          <w:rFonts w:ascii="Calibri" w:hAnsi="Calibri"/>
          <w:sz w:val="21"/>
        </w:rPr>
        <w:t>A* Shell inventory. The operational shell preserves rolling confirmation for gold and CDS, gold-proxy abandonment, temporal decay, realized-versus-expected policy separation, the thesis/administration falsification partition, sequence discipline, BIST scenario boundaries, and theoretical-resonance framing. The legacy clip/w_t m_operational machinery is superseded by the four-variable observable engine in §2.1. C7 remains the raw contradiction layer; A* remains the classification and governance layer.</w:t>
      </w:r>
    </w:p>
    <w:p>
      <w:pPr>
        <w:pStyle w:val="FXBody"/>
        <w:keepLines w:val="0"/>
        <w:widowControl/>
        <w:spacing w:after="160" w:line="252" w:lineRule="auto"/>
        <w:jc w:val="both"/>
      </w:pPr>
      <w:r>
        <w:rPr>
          <w:rFonts w:ascii="Calibri" w:hAnsi="Calibri"/>
          <w:b/>
          <w:bCs/>
          <w:sz w:val="21"/>
        </w:rPr>
        <w:t>The framework does not switch off. That is the point of the v8.1.7 layer separation. In black swans, transition or A* Suspended Animation, C7 keeps running raw contradiction checks. A* may downgrade confidence, suspend operational reliance or demand rolling confirmation. Black-swan conditions (§1.3.G) open independent multi-frame evaluation in C7. A* Suspended Animation (§12.5A) means zero-conviction sizing and formal thesis review, not a stopped diagnostic system. Frame divergence therefore gets two treatments: C7 demands adversarial classification; A* handles the transition or classification status. Same reading, separate jobs.</w:t>
      </w:r>
      <w:r>
        <w:rPr>
          <w:rFonts w:ascii="Calibri" w:hAnsi="Calibri"/>
          <w:sz w:val="21"/>
        </w:rPr>
      </w:r>
    </w:p>
    <w:p>
      <w:pPr>
        <w:pStyle w:val="FXBody"/>
        <w:keepLines w:val="0"/>
        <w:widowControl/>
        <w:spacing w:after="160" w:line="252" w:lineRule="auto"/>
        <w:jc w:val="both"/>
      </w:pPr>
      <w:r>
        <w:rPr>
          <w:rFonts w:ascii="Calibri" w:hAnsi="Calibri"/>
          <w:b/>
          <w:bCs/>
          <w:sz w:val="21"/>
        </w:rPr>
        <w:t>The v8.1.7 architecture separates validity testing from operational interpretation. C7 stays active across regimes and flags divergence, single-cycle breaches and cross-frame contradictions for mandatory review. A* handles dashboard use, smoothing, confidence weighting, rolling confirmation and operational thesis state. We keep the diagnostic system running without treating every raw alert as a final operational verdict. The kernel detects danger; the shell decides status.</w:t>
      </w:r>
      <w:r>
        <w:rPr>
          <w:rFonts w:ascii="Calibri" w:hAnsi="Calibri"/>
          <w:sz w:val="21"/>
        </w:rPr>
      </w:r>
    </w:p>
    <w:p>
      <w:pPr>
        <w:pStyle w:val="FXHeading1"/>
        <w:keepNext/>
        <w:keepLines w:val="0"/>
        <w:widowControl/>
      </w:pPr>
      <w:r>
        <w:rPr>
          <w:color w:val="000000"/>
        </w:rPr>
        <w:t xml:space="preserve">3C. Texas/New York Market-Structure Divergence Line — TMSD (new in v8.2)</w:t>
      </w:r>
    </w:p>
    <w:p>
      <w:pPr>
        <w:pStyle w:val="FXBody"/>
        <w:keepLines w:val="0"/>
        <w:widowControl/>
        <w:spacing w:after="160" w:line="252" w:lineRule="auto"/>
        <w:jc w:val="both"/>
      </w:pPr>
      <w:r>
        <w:rPr>
          <w:rFonts w:ascii="Calibri" w:hAnsi="Calibri"/>
          <w:b w:val="false"/>
          <w:bCs w:val="false"/>
          <w:i w:val="false"/>
          <w:iCs w:val="false"/>
          <w:sz w:val="21"/>
        </w:rPr>
        <w:t xml:space="preserve">TMSD is added as an auxiliary market-structure diagnostic under the C7 Kernel's raw-signal remit (§3A), following the launch of the Texas Stock Exchange (TXSE) on 6 July 2026. This is not a claim that TXSE causes the macro break by itself, and TXSE is not treated as a primary AND-gate trigger. Prior versions implicitly treated the U.S. exchange perimeter as a single New York-centered variable — NYSE/Nasdaq liquidity, fees, listing legitimacy, circuit-breaker behaviour, and U.S. equity downside transmission. TXSE creates a second U.S. exchange perimeter inside the same national securities architecture but outside the New York institutional geography, meaning New York is no longer the only observable exchange-legitimacy variable.</w:t>
      </w:r>
    </w:p>
    <w:p>
      <w:pPr>
        <w:pStyle w:val="FXBody"/>
        <w:keepLines w:val="0"/>
        <w:widowControl/>
        <w:spacing w:after="160" w:line="252" w:lineRule="auto"/>
        <w:jc w:val="both"/>
      </w:pPr>
      <w:r>
        <w:rPr>
          <w:rFonts w:ascii="Calibri" w:hAnsi="Calibri"/>
          <w:b/>
          <w:bCs/>
          <w:sz w:val="21"/>
        </w:rPr>
        <w:t>TMSD asks whether US market-structure legitimacy stays concentrated in New York or starts fragmenting toward Texas. It belongs to market-structure stress and C7 auxiliary diagnostics. It does not directly change DXY, gold, CDS or corridor gates. Its job is to distinguish an equity price shock from a shock that also changes institutional routing.</w:t>
      </w:r>
      <w:r>
        <w:rPr>
          <w:rFonts w:ascii="Calibri" w:hAnsi="Calibri"/>
          <w:sz w:val="21"/>
        </w:rPr>
      </w:r>
    </w:p>
    <w:p>
      <w:pPr>
        <w:pStyle w:val="FXBody"/>
        <w:keepLines w:val="0"/>
        <w:widowControl/>
        <w:spacing w:after="160" w:line="252" w:lineRule="auto"/>
        <w:jc w:val="both"/>
      </w:pPr>
      <w:r>
        <w:rPr>
          <w:rFonts w:ascii="Calibri" w:hAnsi="Calibri"/>
          <w:b/>
          <w:bCs/>
          <w:sz w:val="21"/>
        </w:rPr>
        <w:t>Before TXSE, the framework had one US exchange thermometer: New York. Texas gives us a comparison for listing fees, compliance friction, issuer adoption, liquidity-provider participation, volume share and NYSE/Nasdaq defensive responses. That is the new observable line.</w:t>
      </w:r>
      <w:r>
        <w:rPr>
          <w:rFonts w:ascii="Calibri" w:hAnsi="Calibri"/>
          <w:sz w:val="21"/>
        </w:rPr>
      </w:r>
    </w:p>
    <w:p>
      <w:pPr>
        <w:pStyle w:val="FXHeading2"/>
        <w:keepNext/>
        <w:keepLines w:val="0"/>
        <w:widowControl/>
      </w:pPr>
      <w:r>
        <w:rPr>
          <w:color w:val="000000"/>
        </w:rPr>
        <w:t xml:space="preserve">Observable Inputs</w:t>
      </w:r>
    </w:p>
    <w:p>
      <w:pPr>
        <w:pStyle w:val="FXBody"/>
        <w:keepLines w:val="0"/>
        <w:widowControl/>
        <w:spacing w:after="160" w:line="252" w:lineRule="auto"/>
        <w:jc w:val="both"/>
      </w:pPr>
      <w:r>
        <w:rPr>
          <w:rFonts w:ascii="Calibri" w:hAnsi="Calibri"/>
          <w:b/>
          <w:bCs/>
          <w:sz w:val="21"/>
        </w:rPr>
        <w:t xml:space="preserve">1. TXSE symbol rollout velocity. </w:t>
      </w:r>
      <w:r>
        <w:rPr>
          <w:rFonts w:ascii="Calibri" w:hAnsi="Calibri"/>
          <w:sz w:val="21"/>
        </w:rPr>
        <w:t xml:space="preserve">Tracks how quickly TXSE moves from test symbols into broader symbol participation.</w:t>
      </w:r>
    </w:p>
    <w:p>
      <w:pPr>
        <w:pStyle w:val="FXBody"/>
        <w:keepLines w:val="0"/>
        <w:widowControl/>
        <w:spacing w:after="160" w:line="252" w:lineRule="auto"/>
        <w:jc w:val="both"/>
      </w:pPr>
      <w:r>
        <w:rPr>
          <w:rFonts w:ascii="Calibri" w:hAnsi="Calibri"/>
          <w:b/>
          <w:bCs/>
          <w:sz w:val="21"/>
        </w:rPr>
        <w:t xml:space="preserve">2. TXSE consolidated-volume share. </w:t>
      </w:r>
      <w:r>
        <w:rPr>
          <w:rFonts w:ascii="Calibri" w:hAnsi="Calibri"/>
          <w:sz w:val="21"/>
        </w:rPr>
        <w:t xml:space="preserve">If TXSE stays tiny, it is noise. If TXSE becomes visible in consolidated volume, it becomes market-structure stress.</w:t>
      </w:r>
    </w:p>
    <w:p>
      <w:pPr>
        <w:pStyle w:val="FXBody"/>
        <w:keepLines w:val="0"/>
        <w:widowControl/>
        <w:spacing w:after="160" w:line="252" w:lineRule="auto"/>
        <w:jc w:val="both"/>
      </w:pPr>
      <w:r>
        <w:rPr>
          <w:rFonts w:ascii="Calibri" w:hAnsi="Calibri"/>
          <w:b/>
          <w:bCs/>
          <w:sz w:val="21"/>
        </w:rPr>
        <w:t xml:space="preserve">3. Issuer adoption / migration count. </w:t>
      </w:r>
      <w:r>
        <w:rPr>
          <w:rFonts w:ascii="Calibri" w:hAnsi="Calibri"/>
          <w:sz w:val="21"/>
        </w:rPr>
        <w:t xml:space="preserve">Tracks ETP listings, corporate listings, switches, and dual listings — more diagnostic than day-one trading hype.</w:t>
      </w:r>
    </w:p>
    <w:p>
      <w:pPr>
        <w:pStyle w:val="FXBody"/>
        <w:keepLines w:val="0"/>
        <w:widowControl/>
        <w:spacing w:after="160" w:line="252" w:lineRule="auto"/>
        <w:jc w:val="both"/>
      </w:pPr>
      <w:r>
        <w:rPr>
          <w:rFonts w:ascii="Calibri" w:hAnsi="Calibri"/>
          <w:b/>
          <w:bCs/>
          <w:sz w:val="21"/>
        </w:rPr>
        <w:t xml:space="preserve">4. Listing-economics spread versus NYSE/Nasdaq. </w:t>
      </w:r>
      <w:r>
        <w:rPr>
          <w:rFonts w:ascii="Calibri" w:hAnsi="Calibri"/>
          <w:sz w:val="21"/>
        </w:rPr>
        <w:t xml:space="preserve">Tracks total issuer cost, listing fees, compliance burden, governance friction, and whether Texas exposes New York premium/rent extraction.</w:t>
      </w:r>
    </w:p>
    <w:p>
      <w:pPr>
        <w:pStyle w:val="FXBody"/>
        <w:keepLines w:val="0"/>
        <w:widowControl/>
        <w:spacing w:after="160" w:line="252" w:lineRule="auto"/>
        <w:jc w:val="both"/>
      </w:pPr>
      <w:r>
        <w:rPr>
          <w:rFonts w:ascii="Calibri" w:hAnsi="Calibri"/>
          <w:b/>
          <w:bCs/>
          <w:sz w:val="21"/>
        </w:rPr>
        <w:t xml:space="preserve">5. New York defensive-response index. </w:t>
      </w:r>
      <w:r>
        <w:rPr>
          <w:rFonts w:ascii="Calibri" w:hAnsi="Calibri"/>
          <w:sz w:val="21"/>
        </w:rPr>
        <w:t xml:space="preserve">Tracks NYSE Texas, Nasdaq Texas, fee cuts, listing-rule changes, political messaging, and issuer-retention behaviour. Defensive reaction is itself evidence that Texas has become a live variable.</w:t>
      </w:r>
    </w:p>
    <w:p>
      <w:pPr>
        <w:pStyle w:val="FXBody"/>
        <w:keepLines w:val="0"/>
        <w:widowControl/>
        <w:spacing w:after="160" w:line="252" w:lineRule="auto"/>
        <w:jc w:val="both"/>
      </w:pPr>
      <w:r>
        <w:rPr>
          <w:rFonts w:ascii="Calibri" w:hAnsi="Calibri"/>
          <w:b/>
          <w:bCs/>
          <w:sz w:val="21"/>
        </w:rPr>
        <w:t xml:space="preserve">Timeline calibration. </w:t>
      </w:r>
      <w:r>
        <w:rPr>
          <w:rFonts w:ascii="Calibri" w:hAnsi="Calibri"/>
          <w:sz w:val="21"/>
        </w:rPr>
        <w:t xml:space="preserve">TMSD has a structural dead zone through Q3 2026 by design, not failure. TXSE's own rollout schedule — test symbols through July 2026, ETP listings targeted September 2026, corporate listings targeted October 2026, IPOs targeted Q1 2027 — means the issuer-adoption data needed to move TMSD off “inactive” cannot exist before Q3 at the earliest. A flat TMSD reading through August–September 2026 is expected baseline. Absence of data during this window is a timeline artefact, not evidence of noise, and must not trigger reclassification or escalation.</w:t>
      </w:r>
    </w:p>
    <w:p>
      <w:pPr>
        <w:pStyle w:val="FXHeading2"/>
        <w:keepNext/>
        <w:keepLines w:val="0"/>
        <w:widowControl/>
      </w:pPr>
      <w:r>
        <w:rPr>
          <w:color w:val="000000"/>
        </w:rPr>
        <w:t xml:space="preserve">Interpretation Ladder</w:t>
      </w:r>
    </w:p>
    <w:p>
      <w:pPr>
        <w:pStyle w:val="FXBody"/>
        <w:keepLines w:val="0"/>
        <w:widowControl/>
        <w:spacing w:after="160" w:line="252" w:lineRule="auto"/>
        <w:jc w:val="both"/>
      </w:pPr>
      <w:r>
        <w:rPr>
          <w:rFonts w:ascii="Calibri" w:hAnsi="Calibri"/>
          <w:b/>
          <w:bCs/>
          <w:sz w:val="21"/>
        </w:rPr>
        <w:t xml:space="preserve">TMSD Inactive: </w:t>
      </w:r>
      <w:r>
        <w:rPr>
          <w:rFonts w:ascii="Calibri" w:hAnsi="Calibri"/>
          <w:sz w:val="21"/>
        </w:rPr>
        <w:t xml:space="preserve">TXSE remains symbolic or low-volume; New York retains pricing power and issuer legitimacy.</w:t>
      </w:r>
    </w:p>
    <w:p>
      <w:pPr>
        <w:pStyle w:val="FXBody"/>
        <w:keepLines w:val="0"/>
        <w:widowControl/>
        <w:spacing w:after="160" w:line="252" w:lineRule="auto"/>
        <w:jc w:val="both"/>
      </w:pPr>
      <w:r>
        <w:rPr>
          <w:rFonts w:ascii="Calibri" w:hAnsi="Calibri"/>
          <w:b/>
          <w:bCs/>
          <w:sz w:val="21"/>
        </w:rPr>
        <w:t xml:space="preserve">TMSD Watch: </w:t>
      </w:r>
      <w:r>
        <w:rPr>
          <w:rFonts w:ascii="Calibri" w:hAnsi="Calibri"/>
          <w:sz w:val="21"/>
        </w:rPr>
        <w:t xml:space="preserve">TXSE obtains credible liquidity-provider participation, visible symbol coverage, or early ETP/corporate adoption; New York's monopoly premium becomes measurable.</w:t>
      </w:r>
    </w:p>
    <w:p>
      <w:pPr>
        <w:pStyle w:val="FXBody"/>
        <w:keepLines w:val="0"/>
        <w:widowControl/>
        <w:spacing w:after="160" w:line="252" w:lineRule="auto"/>
        <w:jc w:val="both"/>
      </w:pPr>
      <w:r>
        <w:rPr>
          <w:rFonts w:ascii="Calibri" w:hAnsi="Calibri"/>
          <w:b/>
          <w:bCs/>
          <w:sz w:val="21"/>
        </w:rPr>
        <w:t xml:space="preserve">TMSD Active: </w:t>
      </w:r>
      <w:r>
        <w:rPr>
          <w:rFonts w:ascii="Calibri" w:hAnsi="Calibri"/>
          <w:sz w:val="21"/>
        </w:rPr>
        <w:t xml:space="preserve">TXSE captures meaningful volume or issuer migration while NYSE/Nasdaq respond defensively through fee cuts, Texas-branded venues, listing-rule concessions, or retention campaigns.</w:t>
      </w:r>
    </w:p>
    <w:p>
      <w:pPr>
        <w:pStyle w:val="FXBody"/>
        <w:keepLines w:val="0"/>
        <w:widowControl/>
        <w:spacing w:after="160" w:line="252" w:lineRule="auto"/>
        <w:jc w:val="both"/>
      </w:pPr>
      <w:r>
        <w:rPr>
          <w:rFonts w:ascii="Calibri" w:hAnsi="Calibri"/>
          <w:b/>
          <w:bCs/>
          <w:sz w:val="21"/>
        </w:rPr>
        <w:t xml:space="preserve">TMSD Red Alert: </w:t>
      </w:r>
      <w:r>
        <w:rPr>
          <w:rFonts w:ascii="Calibri" w:hAnsi="Calibri"/>
          <w:sz w:val="21"/>
        </w:rPr>
        <w:t xml:space="preserve">TXSE adoption or NYSE defensive behaviour coincides with major U.S. equity repricing, AI collateral-stock drawdown, or gold breakout. In this configuration Texas is not causal by itself; it is the visible fracture line showing U.S. financial legitimacy is no longer geographically or institutionally singular.</w:t>
      </w:r>
    </w:p>
    <w:p>
      <w:pPr>
        <w:pStyle w:val="FXBody"/>
        <w:keepLines w:val="0"/>
        <w:widowControl/>
        <w:spacing w:after="160" w:line="252" w:lineRule="auto"/>
        <w:jc w:val="both"/>
      </w:pPr>
      <w:r>
        <w:rPr>
          <w:rFonts w:ascii="Calibri" w:hAnsi="Calibri"/>
          <w:b/>
          <w:bCs/>
          <w:sz w:val="21"/>
        </w:rPr>
        <w:t>A TMSD Red Alert needs an actual causal thread. TXSE adoption and independent stress such as an AI collateral drawdown or gold breakout happening together is not enough. An issuer filing or statement might explicitly connect a listing decision to TXSE terms or governance. NYSE/Nasdaq fee or rule changes might explicitly target retention of AI-sector or large-cap issuers. Without that named connection, simultaneous timing earns TMSD Watch at most.</w:t>
      </w:r>
      <w:r>
        <w:rPr>
          <w:rFonts w:ascii="Calibri" w:hAnsi="Calibri"/>
          <w:sz w:val="21"/>
        </w:rPr>
      </w:r>
    </w:p>
    <w:p>
      <w:pPr>
        <w:pStyle w:val="FXBody"/>
        <w:keepLines w:val="0"/>
        <w:widowControl/>
        <w:spacing w:after="160" w:line="252" w:lineRule="auto"/>
        <w:jc w:val="both"/>
      </w:pPr>
      <w:r>
        <w:rPr>
          <w:rFonts w:ascii="Calibri" w:hAnsi="Calibri"/>
          <w:b/>
          <w:bCs/>
          <w:sz w:val="21"/>
        </w:rPr>
        <w:t>TMSD can increase messy-case weighting only alongside other stress signals: major AI collateral-stock repricing such as an Nvidia drawdown, gold or collateral-trust repricing, DXY/gold stress, equity liquidity stress and NYSE/Nasdaq defensive behavior. It is the second thermometer. It is not a standalone trigger.</w:t>
      </w:r>
      <w:r>
        <w:rPr>
          <w:rFonts w:ascii="Calibri" w:hAnsi="Calibri"/>
          <w:sz w:val="21"/>
        </w:rPr>
      </w:r>
    </w:p>
    <w:p>
      <w:pPr>
        <w:pStyle w:val="FXBody"/>
        <w:keepLines w:val="0"/>
        <w:widowControl/>
        <w:spacing w:after="160" w:line="252" w:lineRule="auto"/>
        <w:jc w:val="both"/>
      </w:pPr>
      <w:r>
        <w:rPr>
          <w:rFonts w:ascii="Calibri" w:hAnsi="Calibri"/>
          <w:b/>
          <w:bCs/>
          <w:sz w:val="21"/>
        </w:rPr>
        <w:t xml:space="preserve">Falsification / noise rule. </w:t>
      </w:r>
      <w:r>
        <w:rPr>
          <w:rFonts w:ascii="Calibri" w:hAnsi="Calibri"/>
          <w:sz w:val="21"/>
        </w:rPr>
        <w:t xml:space="preserve">If TXSE volume remains immaterial, issuer adoption fails to progress beyond symbolic dual listings, and NYSE/Nasdaq do not change fees, rules, or retention behaviour, TMSD is classified as narrative noise and remains auxiliary only.</w:t>
      </w:r>
    </w:p>
    <w:p>
      <w:pPr>
        <w:pStyle w:val="FXBody"/>
        <w:keepLines w:val="0"/>
        <w:widowControl/>
        <w:spacing w:after="160" w:line="252" w:lineRule="auto"/>
        <w:jc w:val="both"/>
      </w:pPr>
      <w:r>
        <w:rPr>
          <w:rFonts w:ascii="Calibri" w:hAnsi="Calibri"/>
          <w:b/>
          <w:bCs/>
          <w:sz w:val="21"/>
        </w:rPr>
        <w:t>Texas is the second thermometer. The framework can compare the New York premium against a Texas alternative; that does not make Texas the cause.</w:t>
      </w:r>
    </w:p>
    <w:p>
      <w:pPr>
        <w:pStyle w:val="FXHeading1"/>
        <w:keepNext/>
        <w:keepLines w:val="0"/>
        <w:widowControl/>
      </w:pPr>
      <w:r>
        <w:rPr>
          <w:rFonts w:ascii="Aptos" w:hAnsi="Aptos"/>
          <w:b w:val="0"/>
          <w:i w:val="0"/>
          <w:color w:val="000000"/>
          <w:sz w:val="21"/>
        </w:rPr>
        <w:t>3D. The Declared Rival — Conventional Null (new in v8.6)</w:t>
      </w:r>
    </w:p>
    <w:p>
      <w:pPr>
        <w:pStyle w:val="FXBody"/>
        <w:keepLines w:val="0"/>
        <w:widowControl/>
        <w:spacing w:line="252" w:lineRule="auto"/>
      </w:pPr>
      <w:r>
        <w:rPr>
          <w:rFonts w:ascii="Calibri" w:hAnsi="Calibri"/>
          <w:b w:val="0"/>
          <w:i w:val="0"/>
          <w:sz w:val="21"/>
        </w:rPr>
        <w:t>Here is the exposed soft belly: identification. The same orderly tape can mean pressure held under containment, or ordinary stabilization working as intended. More observations only help if they separate those accounts.</w:t>
      </w:r>
    </w:p>
    <w:p>
      <w:pPr>
        <w:pStyle w:val="FXBody"/>
        <w:keepLines w:val="0"/>
        <w:widowControl/>
        <w:spacing w:line="252" w:lineRule="auto"/>
      </w:pPr>
      <w:r>
        <w:rPr>
          <w:rFonts w:ascii="Calibri" w:hAnsi="Calibri"/>
          <w:b w:val="0"/>
          <w:i w:val="0"/>
          <w:sz w:val="21"/>
        </w:rPr>
        <w:t>That is why the Conventional Null gets a standing place inside C7. Its account is inflation differentials, managed depreciation, domestic risk premia, reserves, sterilization, capital-flow management and orthodox stabilization. It does not need stored USD-side distortion waiting for release. Give it the strongest version of its argument. It need not explain everything; it survives wherever the evidence does not require Camp Inversion.</w:t>
      </w:r>
    </w:p>
    <w:p>
      <w:pPr>
        <w:pStyle w:val="FXBody"/>
        <w:keepLines w:val="0"/>
        <w:widowControl/>
        <w:spacing w:line="252" w:lineRule="auto"/>
      </w:pPr>
      <w:r>
        <w:rPr>
          <w:rFonts w:ascii="Calibri" w:hAnsi="Calibri"/>
          <w:b w:val="0"/>
          <w:i w:val="0"/>
          <w:sz w:val="21"/>
        </w:rPr>
        <w:t>Camp Inversion earns ground by predicting a divergence the Null does not, or explaining something the Null cannot absorb without changing its recorded rules. The Null is not automatically true. It is the simpler explanation until a declared discriminator separates them.</w:t>
      </w:r>
    </w:p>
    <w:p>
      <w:pPr>
        <w:pStyle w:val="FXBody"/>
        <w:keepLines w:val="0"/>
        <w:widowControl/>
        <w:spacing w:line="252" w:lineRule="auto"/>
      </w:pPr>
      <w:r>
        <w:rPr>
          <w:rFonts w:ascii="Calibri" w:hAnsi="Calibri"/>
          <w:b w:val="0"/>
          <w:i w:val="0"/>
          <w:sz w:val="21"/>
        </w:rPr>
        <w:t>The Stone Sentinel is not an oracle. At each gate it asks whether the Conventional Null could have left the same footprint, and what evidence would separate the accounts. If both leave the same footprint, the more evocative story does not win. The route stays Unresolved. You can revise the maze. You cannot erase the footprints.</w:t>
      </w:r>
    </w:p>
    <w:p>
      <w:pPr>
        <w:pStyle w:val="FXHeading2"/>
        <w:keepNext/>
        <w:keepLines w:val="0"/>
        <w:widowControl/>
      </w:pPr>
      <w:r>
        <w:rPr>
          <w:rFonts w:ascii="Aptos" w:hAnsi="Aptos"/>
          <w:b w:val="0"/>
          <w:i w:val="0"/>
          <w:color w:val="000000"/>
          <w:sz w:val="21"/>
        </w:rPr>
        <w:t>6.2C Reflexive Information Containment — The Common-Knowledge Barrier (new in v9.1)</w:t>
      </w:r>
    </w:p>
    <w:p>
      <w:pPr>
        <w:pStyle w:val="FXBody"/>
        <w:keepLines w:val="0"/>
        <w:widowControl/>
        <w:spacing w:line="252" w:lineRule="auto"/>
      </w:pPr>
      <w:r>
        <w:rPr>
          <w:rFonts w:ascii="Calibri" w:hAnsi="Calibri"/>
          <w:b w:val="0"/>
          <w:i w:val="0"/>
          <w:sz w:val="21"/>
        </w:rPr>
        <w:t>The shadow-containment hypothesis also has an information channel. A stable administered quote can organize contracts, expectations, reporting conventions and portfolio shortcuts around the official corridor. That may make alternative valuation frames less salient and harder to coordinate around. I am not claiming authorities literally prevent common knowledge. The test is whether policy and market structure delay common coordination around a different price.</w:t>
      </w:r>
    </w:p>
    <w:p>
      <w:pPr>
        <w:pStyle w:val="FXBody"/>
        <w:keepLines w:val="0"/>
        <w:widowControl/>
        <w:spacing w:line="252" w:lineRule="auto"/>
      </w:pPr>
      <w:r>
        <w:rPr>
          <w:rFonts w:ascii="Calibri" w:hAnsi="Calibri"/>
          <w:b w:val="0"/>
          <w:i w:val="0"/>
          <w:sz w:val="21"/>
        </w:rPr>
        <w:t>If that alternative valuation becomes credible enough to change behavior, look for participants avoiding or selling USD claims, acquiring TL or Turkish assets, switching deposits, redirecting flows, widening basis and funding spreads, and forcing stronger reserve, swap, sterilization or regulatory responses. Those actions may amplify a documented channel. Visibility alone is not release. The declared behavioral sequence has to follow, and belief cannot create hidden reserves or price the route.</w:t>
      </w:r>
    </w:p>
    <w:p>
      <w:pPr>
        <w:pStyle w:val="FXBody"/>
        <w:keepLines w:val="0"/>
        <w:widowControl/>
        <w:spacing w:line="252" w:lineRule="auto"/>
      </w:pPr>
      <w:r>
        <w:rPr>
          <w:rFonts w:ascii="Calibri" w:hAnsi="Calibri"/>
          <w:b w:val="0"/>
          <w:i w:val="0"/>
          <w:sz w:val="21"/>
        </w:rPr>
        <w:t>Do not force this mechanism into one shadow multiplier. Put visibility in the attribution ledger, deposits and flows in m_flow, intervention and administration in m_policy, and the mapping from coordinated behavior to price in the still-uncalibrated m_release.</w:t>
      </w:r>
    </w:p>
    <w:p>
      <w:pPr>
        <w:pStyle w:val="FXBody"/>
        <w:keepLines w:val="0"/>
        <w:widowControl/>
        <w:spacing w:line="252" w:lineRule="auto"/>
      </w:pPr>
      <w:r>
        <w:rPr>
          <w:rFonts w:ascii="Calibri" w:hAnsi="Calibri"/>
          <w:b w:val="0"/>
          <w:i w:val="0"/>
          <w:sz w:val="21"/>
        </w:rPr>
        <w:t>Required observations include onshore/offshore and spot/forward basis; survey expectations versus realized and forward pricing; deposit switching; parallel-market or regional premiums; invoice and indexation practice; quotation access and reporting rules; and behaviour around predeclared information shocks. Search and media salience are secondary evidence only. Output states are Anchored, Fracturing, or Indeterminate.</w:t>
      </w:r>
    </w:p>
    <w:p>
      <w:pPr>
        <w:pStyle w:val="FXBody"/>
        <w:keepLines w:val="0"/>
        <w:widowControl/>
        <w:spacing w:line="252" w:lineRule="auto"/>
      </w:pPr>
      <w:r>
        <w:rPr>
          <w:rFonts w:ascii="Calibri" w:hAnsi="Calibri"/>
          <w:b w:val="0"/>
          <w:i w:val="0"/>
          <w:sz w:val="21"/>
        </w:rPr>
        <w:t>The Null can explain this behavior too: credible stabilization, sticky contracts, transaction costs, liquidity segmentation and ordinary adaptive expectations. If the alternative scenario becomes durable and widely visible but deposits, flows, policy intensity, corridor behavior and relative asset demand stay unchanged over the declared window, the reflexive-release hypothesis weakens. Discussion alone earns no route credit.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val="true"/>
          <w:tblHeader/>
          <w:cantSplit/>
        </w:trPr>
        <w:tc>
          <w:tcPr>
            <w:tcW w:type="dxa" w:w="2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Ledger field</w:t>
            </w:r>
          </w:p>
        </w:tc>
        <w:tc>
          <w:tcPr>
            <w:tcW w:type="dxa" w:w="3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Required observation</w:t>
            </w:r>
          </w:p>
        </w:tc>
        <w:tc>
          <w:tcPr>
            <w:tcW w:type="dxa" w:w="40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Classification boundary</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Visibility</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Who encountered the alternative quote; source, date, reach, persistence</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Attention is not common knowledge</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Behaviour</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Deposits, fund flows, FX conversion, asset demand, hedging</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Price commentary is not flow</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Policy response</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Reserves adjusted for valuation, swaps, sterilization, access/corridor action</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Raw reserve change is not intervention</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Transmission</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Ordered movement from visibility to behaviour to policy to price</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Timing alone is not causation</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Adverse test</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Visibility without measurable behavioural response</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Weakens reflexive release</w:t>
            </w:r>
          </w:p>
        </w:tc>
      </w:tr>
    </w:tbl>
    <w:p>
      <w:pPr>
        <w:pStyle w:val="FXHeading1"/>
        <w:keepNext/>
        <w:keepLines w:val="0"/>
        <w:widowControl/>
      </w:pPr>
      <w:r>
        <w:rPr>
          <w:rFonts w:ascii="Aptos" w:hAnsi="Aptos"/>
          <w:b w:val="0"/>
          <w:i w:val="0"/>
          <w:color w:val="000000"/>
          <w:sz w:val="21"/>
        </w:rPr>
        <w:t>3E. Genesis-Year Audit and Version-History Tribunal (new in v9.0)</w:t>
      </w:r>
    </w:p>
    <w:p>
      <w:pPr>
        <w:pStyle w:val="FXBody"/>
        <w:keepLines w:val="0"/>
        <w:widowControl/>
        <w:spacing w:line="252" w:lineRule="auto"/>
      </w:pPr>
      <w:r>
        <w:rPr>
          <w:rFonts w:ascii="Calibri" w:hAnsi="Calibri"/>
          <w:b w:val="0"/>
          <w:i w:val="0"/>
          <w:sz w:val="21"/>
        </w:rPr>
        <w:t>v9.0 makes the surviving version history answerable to an audit. Judge each version using the information it had. Later wording cannot improve an old claim, supply a missing prediction or turn an interpretation into a forecast. The maze can change. Its ancestry cannot be rewritten.</w:t>
      </w:r>
    </w:p>
    <w:p>
      <w:pPr>
        <w:pStyle w:val="FXBody"/>
        <w:keepLines w:val="0"/>
        <w:widowControl/>
        <w:numPr>
          <w:ilvl w:val="0"/>
          <w:numId w:val="2"/>
        </w:numPr>
        <w:spacing w:after="100" w:line="252" w:lineRule="auto"/>
        <w:jc w:val="both"/>
      </w:pPr>
      <w:r>
        <w:rPr>
          <w:rFonts w:ascii="Calibri" w:hAnsi="Calibri"/>
          <w:b w:val="0"/>
          <w:i w:val="0"/>
          <w:sz w:val="21"/>
        </w:rPr>
        <w:t>Discovery Ledger — what evidence entered the framework, when it entered, how it was sourced, and what the author believed it showed.</w:t>
      </w:r>
    </w:p>
    <w:p>
      <w:pPr>
        <w:pStyle w:val="FXBody"/>
        <w:keepLines w:val="0"/>
        <w:widowControl/>
        <w:numPr>
          <w:ilvl w:val="0"/>
          <w:numId w:val="2"/>
        </w:numPr>
        <w:spacing w:after="100" w:line="252" w:lineRule="auto"/>
        <w:jc w:val="both"/>
      </w:pPr>
      <w:r>
        <w:rPr>
          <w:rFonts w:ascii="Calibri" w:hAnsi="Calibri"/>
          <w:b w:val="0"/>
          <w:i w:val="0"/>
          <w:sz w:val="21"/>
        </w:rPr>
        <w:t>Mutation Ledger — which doctrine, mechanism, definition, threshold, endpoint, or institutional attribution changed between versions and why.</w:t>
      </w:r>
    </w:p>
    <w:p>
      <w:pPr>
        <w:pStyle w:val="FXBody"/>
        <w:keepLines w:val="0"/>
        <w:widowControl/>
        <w:numPr>
          <w:ilvl w:val="0"/>
          <w:numId w:val="2"/>
        </w:numPr>
        <w:spacing w:after="100" w:line="252" w:lineRule="auto"/>
        <w:jc w:val="both"/>
      </w:pPr>
      <w:r>
        <w:rPr>
          <w:rFonts w:ascii="Calibri" w:hAnsi="Calibri"/>
          <w:b w:val="0"/>
          <w:i w:val="0"/>
          <w:sz w:val="21"/>
        </w:rPr>
        <w:t>Prediction-and-Error Ledger — only claims demonstrably recorded before their outcome; these alone receive forecast scores.</w:t>
      </w:r>
    </w:p>
    <w:p>
      <w:pPr>
        <w:pStyle w:val="FXBody"/>
        <w:keepLines w:val="0"/>
        <w:widowControl/>
        <w:spacing w:line="252" w:lineRule="auto"/>
      </w:pPr>
      <w:r>
        <w:rPr>
          <w:rFonts w:ascii="Calibri" w:hAnsi="Calibri"/>
          <w:b w:val="0"/>
          <w:i w:val="0"/>
          <w:sz w:val="21"/>
        </w:rPr>
        <w:t>The old wording controls. If a claim was absent, vague, conditional or wrongly attributed, record that. Do not lend it v9.0's precision after the event. Provenance is Document-Verified, Exhibit-Verified, Author-Attested or Missing. Missing versions remain gaps.</w:t>
      </w:r>
    </w:p>
    <w:p>
      <w:pPr>
        <w:pStyle w:val="FXBody"/>
        <w:keepLines w:val="0"/>
        <w:widowControl/>
        <w:spacing w:line="252" w:lineRule="auto"/>
      </w:pPr>
      <w:r>
        <w:rPr>
          <w:rFonts w:ascii="Calibri" w:hAnsi="Calibri"/>
          <w:b w:val="0"/>
          <w:i w:val="0"/>
          <w:sz w:val="21"/>
        </w:rPr>
        <w:t>Treat v1.0–v3.x as the Formation Archive: exploratory thinking, changing language and ancestry reconstructed from my account. Around v4.0, the framework crossed the Documentation Threshold into a document that could be audited claim by claim. Earlier fragments can explain how it formed. They earn forecast credit only if the exact dated claim is recovered.</w:t>
      </w:r>
    </w:p>
    <w:p>
      <w:pPr>
        <w:pStyle w:val="FXHeading1"/>
        <w:keepNext/>
        <w:keepLines w:val="0"/>
        <w:widowControl/>
      </w:pPr>
      <w:r>
        <w:rPr>
          <w:rFonts w:ascii="Aptos" w:hAnsi="Aptos"/>
          <w:b w:val="0"/>
          <w:i w:val="0"/>
          <w:color w:val="000000"/>
          <w:sz w:val="21"/>
        </w:rPr>
        <w:t>3F. Corroborated Smoke — Investigative Priority, Not Verdict (new in v9.0)</w:t>
      </w:r>
    </w:p>
    <w:p>
      <w:pPr>
        <w:pStyle w:val="FXBody"/>
        <w:keepLines w:val="0"/>
        <w:widowControl/>
        <w:spacing w:line="252" w:lineRule="auto"/>
      </w:pPr>
      <w:r>
        <w:rPr>
          <w:rFonts w:ascii="Calibri" w:hAnsi="Calibri"/>
          <w:b w:val="0"/>
          <w:i w:val="0"/>
          <w:sz w:val="21"/>
        </w:rPr>
        <w:t>Corroborated Smoke says the evidence is dense enough to investigate harder. It is not an attribution verdict. Multiple documented institutional surfaces must converge on the same mechanism or pressure class after we check common origins and duplication. Adoption, implementation, ownership of the cause, transmission and endpoint consequences may all still be unproved.</w:t>
      </w:r>
    </w:p>
    <w:p>
      <w:pPr>
        <w:pStyle w:val="FXBody"/>
        <w:keepLines w:val="0"/>
        <w:widowControl/>
        <w:spacing w:line="252" w:lineRule="auto"/>
      </w:pPr>
      <w:r>
        <w:rPr>
          <w:rFonts w:ascii="Calibri" w:hAnsi="Calibri"/>
          <w:b w:val="0"/>
          <w:i w:val="0"/>
          <w:sz w:val="21"/>
        </w:rPr>
        <w:t>Give each observation three separate fields. “Corroborated Smoke + Shared Attribution + Inactive Mechanism” is a valid result. More corroboration raises investigative priority. It does not grant endpoint authority.</w:t>
      </w:r>
    </w:p>
    <w:p>
      <w:pPr>
        <w:pStyle w:val="FXBody"/>
        <w:keepLines w:val="0"/>
        <w:widowControl/>
        <w:spacing w:line="252" w:lineRule="auto"/>
      </w:pPr>
      <w:r>
        <w:rPr>
          <w:rFonts w:ascii="Calibri" w:hAnsi="Calibri"/>
          <w:b w:val="0"/>
          <w:i w:val="0"/>
          <w:sz w:val="21"/>
        </w:rPr>
        <w:t>The smoke justified the investigation. It did not identify the fire. It gives no primary-gate credit, route activation, probability weight, endpoint authority or allocation permission, and it does not prove the observations were independent.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val="true"/>
          <w:tblHeader/>
          <w:cantSplit/>
        </w:trPr>
        <w:tc>
          <w:tcPr>
            <w:tcW w:type="dxa" w:w="2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Axis</w:t>
            </w:r>
          </w:p>
        </w:tc>
        <w:tc>
          <w:tcPr>
            <w:tcW w:type="dxa" w:w="3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Permitted states</w:t>
            </w:r>
          </w:p>
        </w:tc>
        <w:tc>
          <w:tcPr>
            <w:tcW w:type="dxa" w:w="40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Authority boundary</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Evidence density</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Isolated / Corroborated Smoke</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Preserve cluster; specify discriminators</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Causal attribution</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Inversion-favoring / Null-favoring / Shared / Contradictory / Not Yet Discriminated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Existing v8.6 contest states remain unchanged</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Operational status</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Proposed / Committee / Passed / Enacted / Implemented / Effect Measured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 stage inherits the authority of the next</w:t>
            </w:r>
          </w:p>
        </w:tc>
      </w:tr>
    </w:tbl>
    <w:p>
      <w:pPr>
        <w:pStyle w:val="FXHeading1"/>
        <w:keepNext/>
        <w:keepLines w:val="0"/>
        <w:widowControl/>
      </w:pPr>
      <w:r>
        <w:rPr>
          <w:color w:val="000000"/>
        </w:rPr>
        <w:t xml:space="preserve">4. The Four-Sided Sovereign Envelope — Global Sovereign Trust Layer</w:t>
      </w:r>
    </w:p>
    <w:p>
      <w:pPr>
        <w:pStyle w:val="FXBody"/>
        <w:keepLines w:val="0"/>
        <w:widowControl/>
        <w:spacing w:after="160" w:line="252" w:lineRule="auto"/>
        <w:jc w:val="both"/>
      </w:pPr>
      <w:r>
        <w:rPr>
          <w:rFonts w:ascii="Calibri" w:hAnsi="Calibri"/>
          <w:b w:val="false"/>
          <w:bCs w:val="false"/>
          <w:i w:val="false"/>
          <w:iCs w:val="false"/>
          <w:sz w:val="21"/>
        </w:rPr>
        <w:t>The sovereign trust layer compares Türkiye, Japan, China and Saudi channels, with CHF as an external comparison. Policy affects all of them. They are neither unmanaged controls nor statistically independent ones. Concurrent evidence can motivate the proposed USD-pressure mechanism, but we still have to separate common shocks, valuation, financing and reinvestment before awarding causal credit. The economic defence zone tests mechanisms.</w:t>
      </w:r>
    </w:p>
    <w:p>
      <w:pPr>
        <w:pStyle w:val="FXHeading2"/>
        <w:keepNext/>
        <w:keepLines w:val="0"/>
        <w:widowControl/>
      </w:pPr>
      <w:r>
        <w:rPr>
          <w:color w:val="000000"/>
        </w:rPr>
        <w:t xml:space="preserve">4.1 Turkey (TRY) — Ground-Level Measurement Instrument</w:t>
      </w:r>
    </w:p>
    <w:p>
      <w:pPr>
        <w:pStyle w:val="FXBody"/>
        <w:keepLines w:val="0"/>
        <w:widowControl/>
        <w:spacing w:after="160" w:line="252" w:lineRule="auto"/>
        <w:jc w:val="both"/>
      </w:pPr>
      <w:r>
        <w:rPr>
          <w:rFonts w:ascii="Calibri" w:hAnsi="Calibri"/>
          <w:sz w:val="21"/>
        </w:rPr>
        <w:t>Türkiye — the front-line administered-corridor case. Observable pressure must be separated into m_price, documented m_flow, the m_policy component ledger, and the fiscal transmission rows in §6.2A. The 4–10 band is an orderly-route named hypothesis; the observed rate and corridor are measurements, not proof of a hidden multiple.</w:t>
      </w:r>
    </w:p>
    <w:p>
      <w:pPr>
        <w:pStyle w:val="FXHeading2"/>
        <w:keepNext/>
        <w:keepLines w:val="0"/>
        <w:widowControl/>
      </w:pPr>
      <w:r>
        <w:rPr>
          <w:color w:val="000000"/>
        </w:rPr>
        <w:t xml:space="preserve">4.2 Japan (JGB Pillar) — Marginal Buyer Retreat</w:t>
      </w:r>
    </w:p>
    <w:p>
      <w:pPr>
        <w:pStyle w:val="FXBody"/>
        <w:keepLines w:val="0"/>
        <w:widowControl/>
        <w:spacing w:after="160" w:line="252" w:lineRule="auto"/>
        <w:jc w:val="both"/>
      </w:pPr>
      <w:r>
        <w:rPr>
          <w:rFonts w:ascii="Calibri" w:hAnsi="Calibri"/>
          <w:b w:val="false"/>
          <w:bCs w:val="false"/>
          <w:i w:val="false"/>
          <w:iCs w:val="false"/>
          <w:sz w:val="21"/>
        </w:rPr>
        <w:t>For Japan, follow MOF intervention records and transaction-adjusted external-security flows, owner by owner. Yen intervention does not automatically mean net Treasury liquidation; cash balances and financing may differ from asset sales. A large JGB move can motivate a fragility hypothesis. It cannot estimate or validate a squared-release law. Keep the channel test. The old m-squared validation and automatic-liquidation claims are withdrawn.</w:t>
      </w:r>
    </w:p>
    <w:p>
      <w:pPr>
        <w:pStyle w:val="FXHeading2"/>
        <w:keepNext/>
        <w:keepLines w:val="0"/>
        <w:widowControl/>
      </w:pPr>
      <w:r>
        <w:rPr>
          <w:color w:val="000000"/>
        </w:rPr>
        <w:t xml:space="preserve">4.3 China (TIC Pillar) — Strategic Decumulation</w:t>
      </w:r>
    </w:p>
    <w:p>
      <w:pPr>
        <w:pStyle w:val="FXBody"/>
        <w:keepLines w:val="0"/>
        <w:widowControl/>
        <w:spacing w:after="160" w:line="252" w:lineRule="auto"/>
        <w:jc w:val="both"/>
      </w:pPr>
      <w:r>
        <w:rPr>
          <w:rFonts w:ascii="Calibri" w:hAnsi="Calibri"/>
          <w:b w:val="false"/>
          <w:bCs w:val="false"/>
          <w:i w:val="false"/>
          <w:iCs w:val="false"/>
          <w:sz w:val="21"/>
        </w:rPr>
        <w:t>China pillar. Separate Treasury holdings changes, transactions, valuation, custody geography and beneficial ownership. Match reported gold acquisitions to dates and units; holdings declines do not by themselves prove redirection into physical assets. The inherited &gt;$30bn net UST purchase condition over three months is retained as an auxiliary test requiring transaction evidence. Older holdings and buying-streak figures are historical snapshots, not current observations.</w:t>
      </w:r>
    </w:p>
    <w:p>
      <w:pPr>
        <w:pStyle w:val="FXHeading2"/>
        <w:keepNext/>
        <w:keepLines w:val="0"/>
        <w:widowControl/>
      </w:pPr>
      <w:r>
        <w:rPr>
          <w:color w:val="000000"/>
        </w:rPr>
        <w:t xml:space="preserve">4.4 Saudi Arabia — Petrodollar Recycling Decay</w:t>
      </w:r>
    </w:p>
    <w:p>
      <w:pPr>
        <w:pStyle w:val="FXBody"/>
        <w:keepLines w:val="0"/>
        <w:widowControl/>
        <w:spacing w:after="160" w:line="252" w:lineRule="auto"/>
        <w:jc w:val="both"/>
      </w:pPr>
      <w:r>
        <w:rPr>
          <w:rFonts w:ascii="Calibri" w:hAnsi="Calibri"/>
          <w:b w:val="false"/>
          <w:bCs w:val="false"/>
          <w:i w:val="false"/>
          <w:iCs w:val="false"/>
          <w:sz w:val="21"/>
        </w:rPr>
        <w:t xml:space="preserve">Captures structural decay of classic petrodollar recycling and the emergence of non-dollar physical commodity settlement. Saudi Arabia is also the primary case study for fixed-peg decay (§9). June 2026: the node is under live wartime stress — see §9.1.</w:t>
      </w:r>
    </w:p>
    <w:p>
      <w:pPr>
        <w:pStyle w:val="FXHeading2"/>
        <w:keepNext/>
        <w:keepLines w:val="0"/>
        <w:widowControl/>
      </w:pPr>
      <w:r>
        <w:rPr>
          <w:color w:val="000000"/>
        </w:rPr>
        <w:t xml:space="preserve">4.5 SNB Triangulation Benchmark</w:t>
      </w:r>
    </w:p>
    <w:p>
      <w:pPr>
        <w:pStyle w:val="FXBody"/>
        <w:keepLines w:val="0"/>
        <w:widowControl/>
        <w:spacing w:after="160" w:line="252" w:lineRule="auto"/>
        <w:jc w:val="both"/>
      </w:pPr>
      <w:r>
        <w:rPr>
          <w:rFonts w:ascii="Calibri" w:hAnsi="Calibri"/>
          <w:b w:val="false"/>
          <w:bCs w:val="false"/>
          <w:i w:val="false"/>
          <w:iCs w:val="false"/>
          <w:sz w:val="21"/>
        </w:rPr>
        <w:t>CHF gives us an external comparison, not an immune control. SNB policy, safe-haven demand and global shocks affect it. Use observed SNB operations and matched rates to test both USD-pressure and ordinary risk-off explanations. CHF strength alone identifies neither.</w:t>
      </w:r>
    </w:p>
    <w:p>
      <w:pPr>
        <w:pStyle w:val="FXHeading2"/>
        <w:keepNext/>
        <w:keepLines w:val="0"/>
        <w:widowControl/>
      </w:pPr>
      <w:r>
        <w:rPr>
          <w:color w:val="000000"/>
        </w:rPr>
        <w:t xml:space="preserve">4.6 Ω Measurement Specification (new in v7.6)</w:t>
      </w:r>
    </w:p>
    <w:p>
      <w:pPr>
        <w:pStyle w:val="FXBody"/>
        <w:keepLines w:val="0"/>
        <w:widowControl/>
        <w:spacing w:after="160" w:line="252" w:lineRule="auto"/>
        <w:jc w:val="both"/>
      </w:pPr>
      <w:r>
        <w:rPr>
          <w:rFonts w:ascii="Calibri" w:hAnsi="Calibri"/>
          <w:b w:val="false"/>
          <w:bCs w:val="false"/>
          <w:i w:val="false"/>
          <w:iCs w:val="false"/>
          <w:sz w:val="21"/>
        </w:rPr>
        <w:t>Ω used to be the softest variable: we had the concept but not an operational measurement. v7.6 breaks it into the envelope's own trust channels, each with an observable proxy:</w:t>
      </w:r>
    </w:p>
    <w:p>
      <w:pPr>
        <w:pStyle w:val="FXBody"/>
        <w:keepLines w:val="0"/>
        <w:widowControl/>
        <w:numPr>
          <w:ilvl w:val="0"/>
          <w:numId w:val="2"/>
        </w:numPr>
        <w:spacing w:after="100" w:line="252" w:lineRule="auto"/>
        <w:jc w:val="both"/>
      </w:pPr>
      <w:r>
        <w:rPr>
          <w:rFonts w:ascii="Calibri" w:hAnsi="Calibri"/>
          <w:b/>
          <w:bCs/>
          <w:sz w:val="21"/>
        </w:rPr>
        <w:t>TIC leg: use transaction data and holdings reconciliations with valuation and custody qualifications; a sign-flipped holdings change is not automatically a sale or destination-identified flow.</w:t>
      </w:r>
    </w:p>
    <w:p>
      <w:pPr>
        <w:pStyle w:val="FXBody"/>
        <w:keepLines w:val="0"/>
        <w:widowControl/>
        <w:numPr>
          <w:ilvl w:val="0"/>
          <w:numId w:val="2"/>
        </w:numPr>
        <w:spacing w:after="100" w:line="252" w:lineRule="auto"/>
        <w:jc w:val="both"/>
      </w:pPr>
      <w:r>
        <w:rPr>
          <w:rFonts w:ascii="Calibri" w:hAnsi="Calibri"/>
          <w:b/>
          <w:bCs/>
          <w:sz w:val="21"/>
        </w:rPr>
        <w:t>Gold leg: use official reported monetary-gold holdings or purchase estimates with source and coverage. IMF COFER measures currency composition of FX reserves; it is not a direct gold-purchase series. Purchases alone do not identify which prior asset funded them.</w:t>
      </w:r>
    </w:p>
    <w:p>
      <w:pPr>
        <w:pStyle w:val="FXBody"/>
        <w:keepLines w:val="0"/>
        <w:widowControl/>
        <w:numPr>
          <w:ilvl w:val="0"/>
          <w:numId w:val="2"/>
        </w:numPr>
        <w:spacing w:after="100" w:line="252" w:lineRule="auto"/>
        <w:jc w:val="both"/>
      </w:pPr>
      <w:r>
        <w:rPr>
          <w:rFonts w:ascii="Calibri" w:hAnsi="Calibri"/>
          <w:b/>
          <w:bCs/>
          <w:sz w:val="21"/>
        </w:rPr>
        <w:t>Bilateral/infrastructure leg: record realized disbursements separately from announced commitments, contract currency and settlement currency. Only funded flows within the declared perimeter enter a measured amount.</w:t>
      </w:r>
    </w:p>
    <w:p>
      <w:pPr>
        <w:pStyle w:val="FXBody"/>
        <w:keepLines w:val="0"/>
        <w:widowControl/>
        <w:numPr>
          <w:ilvl w:val="0"/>
          <w:numId w:val="2"/>
        </w:numPr>
        <w:spacing w:after="100" w:line="252" w:lineRule="auto"/>
        <w:jc w:val="both"/>
      </w:pPr>
      <w:r>
        <w:rPr>
          <w:rFonts w:ascii="Calibri" w:hAnsi="Calibri"/>
          <w:b/>
          <w:bCs/>
          <w:sz w:val="21"/>
        </w:rPr>
        <w:t xml:space="preserve">CHF control leg:</w:t>
      </w:r>
      <w:r>
        <w:rPr>
          <w:rFonts w:ascii="Calibri" w:hAnsi="Calibri"/>
          <w:sz w:val="21"/>
        </w:rPr>
        <w:t xml:space="preserve"> SNB flow data as the null-hypothesis channel — safe-haven flows into CHF that do not route into metals or MEA assets count against Ω, disciplining the estimate.</w:t>
      </w:r>
    </w:p>
    <w:p>
      <w:pPr>
        <w:pStyle w:val="FXBody"/>
        <w:keepLines w:val="0"/>
        <w:widowControl/>
        <w:spacing w:after="160" w:line="252" w:lineRule="auto"/>
        <w:jc w:val="both"/>
      </w:pPr>
      <w:r>
        <w:rPr>
          <w:rFonts w:ascii="Calibri" w:hAnsi="Calibri"/>
          <w:b w:val="false"/>
          <w:bCs w:val="false"/>
          <w:i w:val="false"/>
          <w:iCs w:val="false"/>
          <w:sz w:val="21"/>
        </w:rPr>
        <w:t>Keep Omega's legs separate until we have common units, realized transactions, an owner perimeter and duplicate elimination. Missing rows do not get invented confidence weights. Global substitution is not automatically Saudi reserve pressure: alpha needs a Saudi-attributable amount or a justified transmission allocation. Keep swap-line requests as separate liquidity signals.</w:t>
      </w:r>
    </w:p>
    <w:p>
      <w:pPr>
        <w:pStyle w:val="FXHeading1"/>
        <w:keepNext/>
        <w:keepLines w:val="0"/>
        <w:widowControl/>
      </w:pPr>
      <w:r>
        <w:rPr>
          <w:color w:val="000000"/>
        </w:rPr>
        <w:t>5. Trigger Engine — Live Status, 4 August 2026</w:t>
      </w:r>
    </w:p>
    <w:p>
      <w:pPr>
        <w:pStyle w:val="FXBody"/>
        <w:keepLines w:val="0"/>
        <w:widowControl/>
        <w:spacing w:after="160" w:line="252" w:lineRule="auto"/>
        <w:jc w:val="both"/>
      </w:pPr>
      <w:r>
        <w:rPr>
          <w:rFonts w:ascii="Calibri" w:hAnsi="Calibri"/>
          <w:b w:val="false"/>
          <w:bCs w:val="false"/>
          <w:i w:val="false"/>
          <w:iCs w:val="false"/>
          <w:sz w:val="21"/>
        </w:rPr>
        <w:t>All four conditions have to align under their own measurement and persistence rules before we call systemic rotation active. On 4 August 2026, that has not happened. The USD-side gates are unconfirmed, credit is favorable only on a delayed point reading, and the administration-side corridor remains orderly. Partial alignment is evidence. It is not activation.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500"/>
        <w:gridCol w:w="1800"/>
        <w:gridCol w:w="1800"/>
        <w:gridCol w:w="2100"/>
        <w:gridCol w:w="1826"/>
      </w:tblGrid>
      <w:tr>
        <w:trPr>
          <w:tblHeader/>
          <w:tblHeader/>
          <w:cantSplit/>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Trigger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Reading (4 Aug 26)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Gate state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Evidence still required</w:t>
            </w:r>
          </w:p>
        </w:tc>
      </w:tr>
      <w:tr>
        <w:trPr>
          <w:cantSplit/>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DXY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Strictly &lt;100; falling 4-week median for strong confirmation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~99.97–100.01 intraday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BOUNDARY / INDETERMINATE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One canonical ICE-DXY close series and computed 20-session median</w:t>
            </w:r>
          </w:p>
        </w:tc>
      </w:tr>
      <w:tr>
        <w:trPr>
          <w:cantSplit/>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TRY 5y CDS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&lt;250 bp on 4-week rolling median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~237.2 bp delayed point print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FAVORABLE POINT; MEDIAN UNVERIFIED</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Timestamped daily series and computed 4-week median</w:t>
            </w:r>
          </w:p>
        </w:tc>
      </w:tr>
      <w:tr>
        <w:trPr>
          <w:cantSplit/>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USD/TRY corridor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Drift-adjusted crawl; no &gt;15% one-day panic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~47.55; ~17% y/y crawl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ORDERLY / ADMINISTRATION HOLDS</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Mechanically rolled corridor centre; auditable CQI inputs</w:t>
            </w:r>
          </w:p>
        </w:tc>
      </w:tr>
      <w:tr>
        <w:trPr>
          <w:cantSplit/>
        </w:trP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Gold proxy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&gt;$4,200 on 4-week rolling median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~$4.06–4.12k spot/CFD; COMEX $4,033.70 settlement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BELOW GATE</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Choose LBMA PM, COMEX settlement, or another canonical series; compute median</w:t>
            </w:r>
          </w:p>
        </w:tc>
      </w:tr>
    </w:tbl>
    <w:p>
      <w:pPr>
        <w:pStyle w:val="FXBody"/>
        <w:keepLines w:val="0"/>
        <w:widowControl/>
        <w:spacing w:after="160" w:line="252" w:lineRule="auto"/>
        <w:jc w:val="both"/>
      </w:pPr>
      <w:r>
        <w:rPr>
          <w:rFonts w:ascii="Calibri" w:hAnsi="Calibri"/>
          <w:b/>
          <w:bCs/>
          <w:sz w:val="21"/>
        </w:rPr>
        <w:t>Macro overlay (evidence vintage 4 August 2026). The FOMC held the target range at 3.50–3.75% on 29 July by 9–3, with three dissents preferring a 25 bp increase. Realized γcap therefore remains dormant; the hawkish dissent cluster is an expectation/adverse-route signal, not a delivered hike. DXY traded around 100; gold sources printed roughly $4,062–4,122 spot/CFD while the 3 August COMEX settlement was $4,033.70; Türkiye 5-year CDS was reported near 237 bp but with provider-delay risk; USD/TRY was near 47.55 and still tracing an orderly ~17% year-on-year crawl. Instrument definitions and delays in Appendix E govern all persistence claims.</w:t>
      </w:r>
      <w:r>
        <w:rPr>
          <w:rFonts w:ascii="Calibri" w:hAnsi="Calibri"/>
          <w:sz w:val="21"/>
        </w:rPr>
      </w:r>
    </w:p>
    <w:p>
      <w:pPr>
        <w:pStyle w:val="FXHeading2"/>
        <w:keepNext/>
        <w:keepLines w:val="0"/>
        <w:widowControl/>
      </w:pPr>
      <w:r>
        <w:rPr>
          <w:color w:val="000000"/>
        </w:rPr>
        <w:t>5.1 The Four Conditions as Operational Tests</w:t>
      </w:r>
    </w:p>
    <w:p>
      <w:pPr>
        <w:pStyle w:val="FXBody"/>
        <w:keepLines w:val="0"/>
        <w:widowControl/>
        <w:spacing w:after="160" w:line="252" w:lineRule="auto"/>
        <w:jc w:val="both"/>
      </w:pPr>
      <w:r>
        <w:rPr>
          <w:rFonts w:ascii="Calibri" w:hAnsi="Calibri"/>
          <w:b w:val="false"/>
          <w:bCs w:val="false"/>
          <w:i w:val="false"/>
          <w:iCs w:val="false"/>
          <w:sz w:val="21"/>
        </w:rPr>
        <w:t>These four conditions are accepted monitoring conventions for the designed-exit hypothesis. They are not mathematically derived necessary and sufficient conditions for every economic release. Their alignment opens route review. Attribution and transmission still have their own tests.</w:t>
      </w:r>
    </w:p>
    <w:p>
      <w:pPr>
        <w:pStyle w:val="FXBody"/>
        <w:keepLines w:val="0"/>
        <w:widowControl/>
        <w:spacing w:after="160" w:line="252" w:lineRule="auto"/>
        <w:jc w:val="both"/>
      </w:pPr>
      <w:r>
        <w:rPr>
          <w:rFonts w:ascii="Calibri" w:hAnsi="Calibri"/>
          <w:b/>
          <w:bCs/>
          <w:sz w:val="21"/>
        </w:rPr>
        <w:t>DXY &lt;100: the framework's dollar-price gate, evaluated on the declared ICE series and persistence convention. It does not independently identify an administratively propped dollar or fair-value baseline.</w:t>
      </w:r>
    </w:p>
    <w:p>
      <w:pPr>
        <w:pStyle w:val="FXBody"/>
        <w:keepLines w:val="0"/>
        <w:widowControl/>
        <w:spacing w:after="160" w:line="252" w:lineRule="auto"/>
        <w:jc w:val="both"/>
      </w:pPr>
      <w:r>
        <w:rPr>
          <w:rFonts w:ascii="Calibri" w:hAnsi="Calibri"/>
          <w:b w:val="0"/>
          <w:i w:val="0"/>
          <w:sz w:val="21"/>
        </w:rPr>
        <w:t>Gold &gt; $4,200. This threshold records the replacement-anchor price behavior specified by the framework. It does not identify cause. Camp Inversion receives credit only after the Gold Attribution Tribunal in §7.1A compares dollar and real-rate effects, official-sector buying, positioning, physical premiums, geopolitics, and liquidity stress.</w:t>
      </w:r>
    </w:p>
    <w:p>
      <w:pPr>
        <w:pStyle w:val="FXBody"/>
        <w:keepLines w:val="0"/>
        <w:widowControl/>
        <w:spacing w:after="160" w:line="252" w:lineRule="auto"/>
        <w:jc w:val="both"/>
      </w:pPr>
      <w:r>
        <w:rPr>
          <w:rFonts w:ascii="Calibri" w:hAnsi="Calibri"/>
          <w:b/>
          <w:bCs/>
          <w:sz w:val="21"/>
        </w:rPr>
        <w:t>TRY CDS &lt;250 bp: the accepted credit-condition gate on the specified four-week median. Credit spreads contain expected losses, liquidity and risk premia; they are an imperfect trust indicator, not a pure measure of political or psychological trust.</w:t>
      </w:r>
    </w:p>
    <w:p>
      <w:pPr>
        <w:pStyle w:val="FXBody"/>
        <w:keepLines w:val="0"/>
        <w:widowControl/>
        <w:spacing w:after="160" w:line="252" w:lineRule="auto"/>
        <w:jc w:val="both"/>
      </w:pPr>
      <w:r>
        <w:rPr>
          <w:rFonts w:ascii="Calibri" w:hAnsi="Calibri"/>
          <w:b/>
          <w:bCs/>
          <w:sz w:val="21"/>
        </w:rPr>
        <w:t>An orderly corridor shows that observed price movement is contained. It cannot prove a designed release on its own. A panic breach changes the administration assessment; institutional burnout still needs its own observable evidence.</w:t>
      </w:r>
    </w:p>
    <w:p>
      <w:pPr>
        <w:pStyle w:val="FXBody"/>
        <w:keepLines w:val="0"/>
        <w:widowControl/>
        <w:spacing w:after="160" w:line="252" w:lineRule="auto"/>
        <w:jc w:val="both"/>
      </w:pPr>
      <w:r>
        <w:rPr>
          <w:rFonts w:ascii="Calibri" w:hAnsi="Calibri"/>
          <w:b w:val="0"/>
          <w:i w:val="0"/>
          <w:sz w:val="21"/>
        </w:rPr>
        <w:t>The AND-gate defines the designed-exit configuration. It does not identify one unique causal world. Full confirmation can open an Orderly-route review while the observations remain Shared until the contest ledger finds a thesis-specific sequence or flow. Partial alignment cannot activate it. Full alignment cannot skip causal identification.</w:t>
      </w:r>
    </w:p>
    <w:p>
      <w:pPr>
        <w:pStyle w:val="FXHeading1"/>
        <w:keepNext/>
        <w:keepLines w:val="0"/>
        <w:widowControl/>
      </w:pPr>
      <w:r>
        <w:rPr>
          <w:color w:val="000000"/>
        </w:rPr>
        <w:t xml:space="preserve">6. FX Compression Mechanics &amp; Shadow Capture</w:t>
      </w:r>
    </w:p>
    <w:p>
      <w:pPr>
        <w:pStyle w:val="FXHeading2"/>
        <w:keepNext/>
        <w:keepLines w:val="0"/>
        <w:widowControl/>
      </w:pPr>
      <w:r>
        <w:rPr>
          <w:color w:val="000000"/>
        </w:rPr>
        <w:t xml:space="preserve">6.1 Compression Conditions</w:t>
      </w:r>
    </w:p>
    <w:p>
      <w:pPr>
        <w:pStyle w:val="FXBody"/>
        <w:keepLines w:val="0"/>
        <w:widowControl/>
        <w:numPr>
          <w:ilvl w:val="0"/>
          <w:numId w:val="2"/>
        </w:numPr>
        <w:spacing w:after="100" w:line="252" w:lineRule="auto"/>
        <w:jc w:val="both"/>
      </w:pPr>
      <w:r>
        <w:rPr>
          <w:rFonts w:ascii="Calibri" w:hAnsi="Calibri"/>
          <w:sz w:val="21"/>
        </w:rPr>
        <w:t xml:space="preserve">USD inflows captured by state channels above the cs threshold</w:t>
      </w:r>
    </w:p>
    <w:p>
      <w:pPr>
        <w:pStyle w:val="FXBody"/>
        <w:keepLines w:val="0"/>
        <w:widowControl/>
        <w:numPr>
          <w:ilvl w:val="0"/>
          <w:numId w:val="2"/>
        </w:numPr>
        <w:spacing w:after="100" w:line="252" w:lineRule="auto"/>
        <w:jc w:val="both"/>
      </w:pPr>
      <w:r>
        <w:rPr>
          <w:rFonts w:ascii="Calibri" w:hAnsi="Calibri"/>
          <w:sz w:val="21"/>
        </w:rPr>
        <w:t xml:space="preserve">FX pressure suppressed below observable market clearing levels</w:t>
      </w:r>
    </w:p>
    <w:p>
      <w:pPr>
        <w:pStyle w:val="FXBody"/>
        <w:keepLines w:val="0"/>
        <w:widowControl/>
        <w:numPr>
          <w:ilvl w:val="0"/>
          <w:numId w:val="2"/>
        </w:numPr>
        <w:spacing w:after="100" w:line="252" w:lineRule="auto"/>
        <w:jc w:val="both"/>
      </w:pPr>
      <w:r>
        <w:rPr>
          <w:rFonts w:ascii="Calibri" w:hAnsi="Calibri"/>
          <w:sz w:val="21"/>
        </w:rPr>
        <w:t xml:space="preserve">PPP diverging as real purchasing power continues to erode</w:t>
      </w:r>
    </w:p>
    <w:p>
      <w:pPr>
        <w:pStyle w:val="FXBody"/>
        <w:keepLines w:val="0"/>
        <w:widowControl/>
        <w:numPr>
          <w:ilvl w:val="0"/>
          <w:numId w:val="2"/>
        </w:numPr>
        <w:spacing w:after="100" w:line="252" w:lineRule="auto"/>
        <w:jc w:val="both"/>
      </w:pPr>
      <w:r>
        <w:rPr>
          <w:rFonts w:ascii="Calibri" w:hAnsi="Calibri"/>
          <w:b w:val="0"/>
          <w:i w:val="0"/>
          <w:sz w:val="21"/>
        </w:rPr>
        <w:t>Documented price displacement, policy intensity, and balance-sheet exposure may widen as the administrative spring coils tighter</w:t>
      </w:r>
    </w:p>
    <w:p>
      <w:pPr>
        <w:pStyle w:val="FXBody"/>
        <w:keepLines w:val="0"/>
        <w:widowControl/>
        <w:spacing w:after="160" w:line="252" w:lineRule="auto"/>
        <w:jc w:val="both"/>
      </w:pPr>
      <w:r>
        <w:rPr>
          <w:rFonts w:ascii="Calibri" w:hAnsi="Calibri"/>
          <w:sz w:val="21"/>
        </w:rPr>
        <w:t>If containment weakens, the framework proposes that release may be nonlinear. The old ΔFX ∝ m² survives only as a warning that fragility could rise faster than the visible corridor moves. It is not an estimated response function. Until m_release is calibrated, it cannot tell us the magnitude.</w:t>
      </w:r>
    </w:p>
    <w:p>
      <w:pPr>
        <w:pStyle w:val="FXHeading2"/>
        <w:keepNext/>
        <w:keepLines w:val="0"/>
        <w:widowControl/>
      </w:pPr>
      <w:r>
        <w:rPr>
          <w:color w:val="000000"/>
        </w:rPr>
        <w:t xml:space="preserve">6.2 Shadow Capture: Core Mechanism</w:t>
      </w:r>
    </w:p>
    <w:p>
      <w:pPr>
        <w:pStyle w:val="FXBody"/>
        <w:keepLines w:val="0"/>
        <w:widowControl/>
        <w:spacing w:after="160" w:before="80" w:line="252" w:lineRule="auto"/>
        <w:ind w:left="360"/>
      </w:pPr>
      <w:r>
        <w:rPr>
          <w:rFonts w:ascii="Calibri" w:hAnsi="Calibri"/>
          <w:sz w:val="21"/>
        </w:rPr>
        <w:t>Legacy identity (retired as derivation): captured-flow ratio, price displacement, policy intensity, and release transmission are separate objects.</w:t>
      </w:r>
    </w:p>
    <w:p>
      <w:pPr>
        <w:pStyle w:val="FXBody"/>
        <w:keepLines w:val="0"/>
        <w:widowControl/>
        <w:spacing w:after="160" w:line="252" w:lineRule="auto"/>
        <w:jc w:val="both"/>
      </w:pPr>
      <w:r>
        <w:rPr>
          <w:rFonts w:ascii="Calibri" w:hAnsi="Calibri"/>
          <w:sz w:val="21"/>
        </w:rPr>
        <w:t>The mechanism now has to stand on a ledger. Incoming and resident FX demand may be diverted, sterilized, swapped, regulated or absorbed through state and banking channels, leaving a smoother corridor than unconstrained price discovery would produce. Document the magnitude through m_flow and m_policy. An “every $10” illustration cannot measure it for us.</w:t>
      </w:r>
    </w:p>
    <w:p>
      <w:pPr>
        <w:pStyle w:val="FXBody"/>
        <w:keepLines w:val="0"/>
        <w:widowControl/>
        <w:spacing w:after="160" w:line="252" w:lineRule="auto"/>
        <w:jc w:val="both"/>
      </w:pPr>
      <w:r>
        <w:rPr>
          <w:rFonts w:ascii="Calibri" w:hAnsi="Calibri"/>
          <w:sz w:val="21"/>
        </w:rPr>
        <w:t>Named scenario map (v8.5). Designed-exit hypothesis: 4–10 TRY per USD. Containment-failure hypothesis: 340–460+ TRY per USD. Both remain visible because they encode the framework’s two opposed release stories, but neither is fair value, true FX, a forecast, or a mathematically derived endpoint. The orderly route requires USD-side resolution followed by administratively managed transmission. The messy route requires containment failure before reference-asset resolution. Sequence ranks the routes; the fiscal transmission ledger must estimate any eventual price range.</w:t>
      </w:r>
    </w:p>
    <w:p>
      <w:pPr>
        <w:pStyle w:val="FXBody"/>
        <w:keepLines w:val="0"/>
        <w:widowControl/>
        <w:spacing w:after="160" w:line="252" w:lineRule="auto"/>
        <w:jc w:val="both"/>
      </w:pPr>
      <w:r>
        <w:rPr>
          <w:rFonts w:ascii="Calibri" w:hAnsi="Calibri"/>
          <w:sz w:val="21"/>
        </w:rPr>
        <w:t>A surviving corridor can show effective policy capacity. It cannot supply the captured-flow ratio. For m_flow, bring documented eligible inflows and captured amounts. For m_policy, bring intervention, swaps, sterilization, regulatory and corridor actions. If those series are incomplete, write indeterminate. Do not infer a 0.88–0.92 point or band.</w:t>
      </w:r>
    </w:p>
    <w:p>
      <w:pPr>
        <w:pStyle w:val="FXHeading2"/>
        <w:keepNext/>
        <w:keepLines w:val="0"/>
        <w:widowControl/>
      </w:pPr>
      <w:r>
        <w:rPr>
          <w:rFonts w:ascii="Aptos" w:hAnsi="Aptos"/>
          <w:color w:val="000000"/>
        </w:rPr>
        <w:t>6.2A Fiscal Transmission Ledger — Doctrine-to-Endpoint Bridge (new in v8.5)</w:t>
      </w:r>
    </w:p>
    <w:p>
      <w:pPr>
        <w:pStyle w:val="FXBody"/>
        <w:keepLines w:val="0"/>
        <w:widowControl/>
        <w:spacing w:line="252" w:lineRule="auto"/>
      </w:pPr>
      <w:r>
        <w:rPr>
          <w:rFonts w:ascii="Calibri" w:hAnsi="Calibri"/>
          <w:sz w:val="21"/>
        </w:rPr>
        <w:t>This ledger is the bridge we still need between doctrine and an endpoint. Record stocks, flows, maturities, policy operations and absorption capacity without stuffing unlike units into one coefficient. Every row needs its source, measured period, observation date, unit, sign convention, gross/net treatment, revisions, delay, confidence class and route implication.</w:t>
      </w:r>
    </w:p>
    <w:p>
      <w:pPr>
        <w:pStyle w:val="FXBody"/>
        <w:keepLines w:val="0"/>
        <w:widowControl/>
        <w:numPr>
          <w:ilvl w:val="0"/>
          <w:numId w:val="2"/>
        </w:numPr>
        <w:spacing w:after="100" w:line="252" w:lineRule="auto"/>
        <w:jc w:val="both"/>
      </w:pPr>
      <w:r>
        <w:rPr>
          <w:rFonts w:ascii="Calibri" w:hAnsi="Calibri"/>
          <w:sz w:val="21"/>
        </w:rPr>
        <w:t>CBRT reserves — gross reserves, net international reserves, usable/liquid reserves where defensible, gold, encumbrances, and valuation effects. Separate transactions from price and FX translation effects.</w:t>
      </w:r>
    </w:p>
    <w:p>
      <w:pPr>
        <w:pStyle w:val="FXBody"/>
        <w:keepLines w:val="0"/>
        <w:widowControl/>
        <w:numPr>
          <w:ilvl w:val="0"/>
          <w:numId w:val="2"/>
        </w:numPr>
        <w:spacing w:after="100" w:line="252" w:lineRule="auto"/>
        <w:jc w:val="both"/>
      </w:pPr>
      <w:r>
        <w:rPr>
          <w:rFonts w:ascii="Calibri" w:hAnsi="Calibri"/>
          <w:sz w:val="21"/>
        </w:rPr>
        <w:t>Swaps and contingent FX — domestic and foreign swaps, forwards, deposit facilities, public-sector FX liabilities, maturity profile, counterparties where public, and double-counting controls against reserve totals.</w:t>
      </w:r>
    </w:p>
    <w:p>
      <w:pPr>
        <w:pStyle w:val="FXBody"/>
        <w:keepLines w:val="0"/>
        <w:widowControl/>
        <w:numPr>
          <w:ilvl w:val="0"/>
          <w:numId w:val="2"/>
        </w:numPr>
        <w:spacing w:after="100" w:line="252" w:lineRule="auto"/>
        <w:jc w:val="both"/>
      </w:pPr>
      <w:r>
        <w:rPr>
          <w:rFonts w:ascii="Calibri" w:hAnsi="Calibri"/>
          <w:sz w:val="21"/>
        </w:rPr>
        <w:t>Treasury flows — FX borrowing and redemption, tax and privatization receipts, public-enterprise FX transactions, budget cash balance, transfers, and any Treasury–CBRT operations relevant to liquidity.</w:t>
      </w:r>
    </w:p>
    <w:p>
      <w:pPr>
        <w:pStyle w:val="FXBody"/>
        <w:keepLines w:val="0"/>
        <w:widowControl/>
        <w:numPr>
          <w:ilvl w:val="0"/>
          <w:numId w:val="2"/>
        </w:numPr>
        <w:spacing w:after="100" w:line="252" w:lineRule="auto"/>
        <w:jc w:val="both"/>
      </w:pPr>
      <w:r>
        <w:rPr>
          <w:rFonts w:ascii="Calibri" w:hAnsi="Calibri"/>
          <w:sz w:val="21"/>
        </w:rPr>
        <w:t>External-debt maturities — sovereign, bank, and non-financial corporate principal and interest by month, currency, residency, rollover evidence, trade credit, and guaranteed liabilities.</w:t>
      </w:r>
    </w:p>
    <w:p>
      <w:pPr>
        <w:pStyle w:val="FXBody"/>
        <w:keepLines w:val="0"/>
        <w:widowControl/>
        <w:numPr>
          <w:ilvl w:val="0"/>
          <w:numId w:val="2"/>
        </w:numPr>
        <w:spacing w:after="100" w:line="252" w:lineRule="auto"/>
        <w:jc w:val="both"/>
      </w:pPr>
      <w:r>
        <w:rPr>
          <w:rFonts w:ascii="Calibri" w:hAnsi="Calibri"/>
          <w:sz w:val="21"/>
        </w:rPr>
        <w:t>Deposit dollarization — resident FX and protected/linked deposits, conversions, maturity structure, withdrawal behavior, and distinction between stock changes, valuation effects, and genuine currency switching.</w:t>
      </w:r>
    </w:p>
    <w:p>
      <w:pPr>
        <w:pStyle w:val="FXBody"/>
        <w:keepLines w:val="0"/>
        <w:widowControl/>
        <w:numPr>
          <w:ilvl w:val="0"/>
          <w:numId w:val="2"/>
        </w:numPr>
        <w:spacing w:after="100" w:line="252" w:lineRule="auto"/>
        <w:jc w:val="both"/>
      </w:pPr>
      <w:r>
        <w:rPr>
          <w:rFonts w:ascii="Calibri" w:hAnsi="Calibri"/>
          <w:sz w:val="21"/>
        </w:rPr>
        <w:t>Sterilization and domestic liquidity — open-market operations, required reserves, deposit auctions, bills, macroprudential rules, collateral policy, and the fiscal or quasi-fiscal cost of carrying the corridor.</w:t>
      </w:r>
    </w:p>
    <w:p>
      <w:pPr>
        <w:pStyle w:val="FXBody"/>
        <w:keepLines w:val="0"/>
        <w:widowControl/>
        <w:numPr>
          <w:ilvl w:val="0"/>
          <w:numId w:val="2"/>
        </w:numPr>
        <w:spacing w:after="100" w:line="252" w:lineRule="auto"/>
        <w:jc w:val="both"/>
      </w:pPr>
      <w:r>
        <w:rPr>
          <w:rFonts w:ascii="Calibri" w:hAnsi="Calibri"/>
          <w:sz w:val="21"/>
        </w:rPr>
        <w:t>Banking exposure — net open FX positions, FX liquidity, swap dependence, sovereign holdings, asset quality, capital buffers, maturity mismatch, and pass-through channels to credit and deposits.</w:t>
      </w:r>
    </w:p>
    <w:p>
      <w:pPr>
        <w:pStyle w:val="FXBody"/>
        <w:keepLines w:val="0"/>
        <w:widowControl/>
        <w:numPr>
          <w:ilvl w:val="0"/>
          <w:numId w:val="2"/>
        </w:numPr>
        <w:spacing w:after="100" w:line="252" w:lineRule="auto"/>
        <w:jc w:val="both"/>
      </w:pPr>
      <w:r>
        <w:rPr>
          <w:rFonts w:ascii="Calibri" w:hAnsi="Calibri"/>
          <w:sz w:val="21"/>
        </w:rPr>
        <w:t>Capital flows — portfolio, direct investment, bank flows, trade finance, errors and omissions, non-resident positioning, and repatriation. Separate gross from net and price effects from transactions.</w:t>
      </w:r>
    </w:p>
    <w:p>
      <w:pPr>
        <w:pStyle w:val="FXBody"/>
        <w:keepLines w:val="0"/>
        <w:widowControl/>
        <w:numPr>
          <w:ilvl w:val="0"/>
          <w:numId w:val="2"/>
        </w:numPr>
        <w:spacing w:after="100" w:line="252" w:lineRule="auto"/>
        <w:jc w:val="both"/>
      </w:pPr>
      <w:r>
        <w:rPr>
          <w:rFonts w:ascii="Calibri" w:hAnsi="Calibri"/>
          <w:sz w:val="21"/>
        </w:rPr>
        <w:t>Market capacity — spot and derivatives turnover, order-book depth, bid–ask spreads, offshore/onshore segmentation, intervention share of volume, settlement capacity, capital-control friction, and the size of flows the market can absorb without discontinuity.</w:t>
      </w:r>
    </w:p>
    <w:p>
      <w:pPr>
        <w:pStyle w:val="FXBody"/>
        <w:keepLines w:val="0"/>
        <w:widowControl/>
        <w:spacing w:line="252" w:lineRule="auto"/>
      </w:pPr>
      <w:r>
        <w:rPr>
          <w:rFonts w:ascii="Calibri" w:hAnsi="Calibri"/>
          <w:b w:val="0"/>
          <w:i w:val="0"/>
          <w:sz w:val="21"/>
        </w:rPr>
        <w:t>Keep three separate flow worksheets: eligible-inflow capture, resident FX conversion or switching, and state/bank intermediation. Each needs its own numerator, denominator, window, perimeter and missing-data flag. None gets to impersonate another.</w:t>
      </w:r>
    </w:p>
    <w:p>
      <w:pPr>
        <w:pStyle w:val="FXHeading2"/>
        <w:keepNext/>
        <w:keepLines w:val="0"/>
        <w:widowControl/>
      </w:pPr>
      <w:r>
        <w:rPr>
          <w:rFonts w:ascii="Aptos" w:hAnsi="Aptos"/>
          <w:b w:val="0"/>
          <w:i w:val="0"/>
          <w:color w:val="000000"/>
          <w:sz w:val="21"/>
        </w:rPr>
        <w:t>6.2B Discrimination Ledger — The Maze Keeps Receipts (new in v8.6)</w:t>
      </w:r>
    </w:p>
    <w:p>
      <w:pPr>
        <w:pStyle w:val="FXBody"/>
        <w:keepLines w:val="0"/>
        <w:widowControl/>
        <w:spacing w:line="252" w:lineRule="auto"/>
      </w:pPr>
      <w:r>
        <w:rPr>
          <w:rFonts w:ascii="Calibri" w:hAnsi="Calibri"/>
          <w:b w:val="0"/>
          <w:i w:val="0"/>
          <w:sz w:val="21"/>
        </w:rPr>
        <w:t>Every material observation enters twice: once under Camp Inversion, once under the strongest Conventional Null. Then record what evidence could separate them. Until it arrives, the observation is Shared. Revise rules prospectively if needed, but keep the old footprints and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500"/>
        <w:gridCol w:w="1800"/>
        <w:gridCol w:w="1800"/>
        <w:gridCol w:w="2100"/>
        <w:gridCol w:w="1826"/>
      </w:tblGrid>
      <w:tr>
        <w:trPr>
          <w:tblHeader w:val="true"/>
          <w:tblHeader/>
          <w:cantSplit/>
        </w:trPr>
        <w:tc>
          <w:tcPr>
            <w:tcW w:type="dxa" w:w="15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Observation</w:t>
            </w:r>
          </w:p>
        </w:tc>
        <w:tc>
          <w:tcPr>
            <w:tcW w:type="dxa" w:w="18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Camp Inversion</w:t>
            </w:r>
          </w:p>
        </w:tc>
        <w:tc>
          <w:tcPr>
            <w:tcW w:type="dxa" w:w="18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Conventional Null</w:t>
            </w:r>
          </w:p>
        </w:tc>
        <w:tc>
          <w:tcPr>
            <w:tcW w:type="dxa" w:w="21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Declared discriminator</w:t>
            </w:r>
          </w:p>
        </w:tc>
        <w:tc>
          <w:tcPr>
            <w:tcW w:type="dxa" w:w="18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Initial status</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Orderly crawl</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Containment stores pressure</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Managed depreciation is working</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Flow capture and policy-cost divergence</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Shared</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Improving CDS</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Orderly release capacity</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Orthodox stabilization lowers risk</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Lead-lag against USD-side resolution</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Shared</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Adjusted reserve change</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Pressure absorbed/released</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Policy accumulation or defence</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Transaction bridge ex-swaps/valuation</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Not Yet Discriminated</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Gold threshold</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Reference distortion resolving</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Rates, purchases, positioning, geopolitics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Comparative attribution ledger</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Not Yet Discriminated</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Resident FX switching</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Containment channel changes</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Portfolio response to real yields/risk</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Quantity/valuation decomposition</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Not Yet Discriminated</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Corridor break</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Messy release candidate</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Domestic stabilization failure</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Prior USD-side discriminator + ledger sequence</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Shared until attributed</w:t>
            </w:r>
          </w:p>
        </w:tc>
      </w:tr>
    </w:tbl>
    <w:p>
      <w:pPr>
        <w:pStyle w:val="FXBody"/>
        <w:keepLines w:val="0"/>
        <w:widowControl/>
        <w:spacing w:line="252" w:lineRule="auto"/>
      </w:pPr>
      <w:r>
        <w:rPr>
          <w:rFonts w:ascii="Calibri" w:hAnsi="Calibri"/>
          <w:b w:val="0"/>
          <w:i w:val="0"/>
          <w:sz w:val="21"/>
        </w:rPr>
        <w:t>Keep the owners straight. CBRT, Treasury, public enterprises, private banks and non-financial corporates stay separate unless we explicitly declare consolidation and elimination rules. Stocks, flows, maturities, prices, yields, basis points and turnover cannot be added without common units, a shared window and a valid stock-flow bridge.</w:t>
      </w:r>
    </w:p>
    <w:p>
      <w:pPr>
        <w:pStyle w:val="FXBody"/>
        <w:keepLines w:val="0"/>
        <w:widowControl/>
        <w:spacing w:line="252" w:lineRule="auto"/>
      </w:pPr>
      <w:r>
        <w:rPr>
          <w:rFonts w:ascii="Calibri" w:hAnsi="Calibri"/>
          <w:b w:val="0"/>
          <w:i w:val="0"/>
          <w:sz w:val="21"/>
        </w:rPr>
        <w:t>Ledger outputs. Each cycle reports: containment capacity—Strengthening, Weakening, or Indeterminate; transmission direction—Net FX Supply, Net FX Demand, or Indeterminate; and absorption capacity—Adequate, Strained, Breached, or Indeterminate. These are classifications, not endpoint estimates.</w:t>
      </w:r>
    </w:p>
    <w:p>
      <w:pPr>
        <w:pStyle w:val="FXBody"/>
        <w:keepLines w:val="0"/>
        <w:widowControl/>
        <w:spacing w:line="252" w:lineRule="auto"/>
      </w:pPr>
      <w:r>
        <w:rPr>
          <w:rFonts w:ascii="Calibri" w:hAnsi="Calibri"/>
          <w:sz w:val="21"/>
        </w:rPr>
        <w:t>A route gets a numerical range only after the ledger identifies the net FX supply/demand impulse, who absorbs the balance-sheet loss, the relevant horizon and the market-capacity function. Until then, endpoints are named hypotheses and m_release stays uncalibrated.</w:t>
      </w:r>
    </w:p>
    <w:p>
      <w:pPr>
        <w:pStyle w:val="FXHeading2"/>
        <w:keepNext/>
        <w:keepLines w:val="0"/>
        <w:widowControl/>
      </w:pPr>
      <w:r>
        <w:rPr>
          <w:color w:val="000000"/>
        </w:rPr>
        <w:t xml:space="preserve">6.3 PPP Divergence Documentation</w:t>
      </w:r>
    </w:p>
    <w:p>
      <w:pPr>
        <w:pStyle w:val="FXBody"/>
        <w:keepLines w:val="0"/>
        <w:widowControl/>
        <w:spacing w:after="160" w:line="252" w:lineRule="auto"/>
        <w:jc w:val="both"/>
      </w:pPr>
      <w:r>
        <w:rPr>
          <w:rFonts w:ascii="Calibri" w:hAnsi="Calibri"/>
          <w:sz w:val="21"/>
        </w:rPr>
        <w:t>PPP gives us a comparison. It does not generate a price. Declare the provider, base year, basket, rebasing method, observation date and real-versus-nominal treatment. The 4–10 band stays a named designed-exit hypothesis until it has an independent derivation.</w:t>
      </w:r>
    </w:p>
    <w:p>
      <w:pPr>
        <w:pStyle w:val="FXHeading2"/>
        <w:keepNext/>
        <w:keepLines w:val="0"/>
        <w:widowControl/>
      </w:pPr>
      <w:r>
        <w:rPr>
          <w:color w:val="000000"/>
        </w:rPr>
        <w:t xml:space="preserve">6.4 Institutional Burnout — The Psychological Trust Stack</w:t>
      </w:r>
    </w:p>
    <w:p>
      <w:pPr>
        <w:pStyle w:val="FXBody"/>
        <w:keepLines w:val="0"/>
        <w:widowControl/>
        <w:spacing w:after="160" w:line="252" w:lineRule="auto"/>
        <w:jc w:val="both"/>
      </w:pPr>
      <w:r>
        <w:rPr>
          <w:rFonts w:ascii="Calibri" w:hAnsi="Calibri"/>
          <w:b w:val="0"/>
          <w:i w:val="0"/>
          <w:sz w:val="21"/>
        </w:rPr>
        <w:t>A central-bank decree does not execute itself. An intensive corridor depends on thousands of low-to-mid-level bureaucratic and banking nodes continuing to do the work. We do not have a source-backed 90% capture ratio here. So institutional fatigue stays a qualitative transmission risk to test through delays, exceptions, enforcement, switching behavior and ledger evidence. We do not assign it a hidden rate.</w:t>
      </w:r>
    </w:p>
    <w:p>
      <w:pPr>
        <w:pStyle w:val="FXHeading2"/>
        <w:keepNext/>
        <w:keepLines w:val="0"/>
        <w:widowControl/>
      </w:pPr>
      <w:r>
        <w:rPr>
          <w:color w:val="000000"/>
        </w:rPr>
        <w:t xml:space="preserve">6.4A Double-Blind Trust Stack — Theoretical Reference Layer (new in v8.1.3)</w:t>
      </w:r>
    </w:p>
    <w:p>
      <w:pPr>
        <w:pStyle w:val="FXBody"/>
        <w:keepLines w:val="0"/>
        <w:widowControl/>
        <w:spacing w:after="160" w:line="252" w:lineRule="auto"/>
        <w:jc w:val="both"/>
      </w:pPr>
      <w:r>
        <w:rPr>
          <w:rFonts w:ascii="Calibri" w:hAnsi="Calibri"/>
          <w:b w:val="false"/>
          <w:bCs w:val="false"/>
          <w:sz w:val="21"/>
        </w:rPr>
        <w:t>The psychological trust stack carries a real part of the hypothesis: compliance, coordination and legitimacy may change policy execution and release. The thinkers supply mechanism analogies and expected objections. They did not empirically endorse this FX model, and the ECB comparison does not independently prove it. Appendix L ties each analogy to an observable and a possible adverse result. The original four internal layers stay.</w:t>
      </w:r>
    </w:p>
    <w:p>
      <w:pPr>
        <w:pStyle w:val="FXBody"/>
        <w:keepLines w:val="0"/>
        <w:widowControl/>
        <w:spacing w:after="160" w:line="252" w:lineRule="auto"/>
        <w:jc w:val="both"/>
      </w:pPr>
      <w:r>
        <w:rPr>
          <w:rFonts w:ascii="Calibri" w:hAnsi="Calibri"/>
          <w:b/>
          <w:bCs/>
          <w:sz w:val="21"/>
        </w:rPr>
        <w:t>Layer 1 — Compliance Degradation and Burnout Mechanics. Mancur Olson (collective action theory): individual actors in a large compliance system have rational incentives to defect quietly when enforcement is diffuse and personal cost is high — the bureaucratic node fatigue in §6.4 is Olson’s free-rider dynamic applied to administrative capture infrastructure. James Scott (weapons of the weak): quiet non-compliance is the dominant mode of resistance in administered systems; organised resistance is rare, but decentralised micro-defection is continuous and structurally corrosive — analogous to the tracking paperwork velocity and minor arbitrage tolerance described in §6.4. Albert Hirschman (exit, voice, loyalty): institutional loyalty degrades before exit becomes visible; the compliance erosion in §6.4 is Hirschman’s loyalty decay operating below the threshold of observable exit behaviour — the system looks intact until it suddenly is not.</w:t>
      </w:r>
    </w:p>
    <w:p>
      <w:pPr>
        <w:pStyle w:val="FXBody"/>
        <w:keepLines w:val="0"/>
        <w:widowControl/>
        <w:spacing w:after="160" w:line="252" w:lineRule="auto"/>
        <w:jc w:val="both"/>
      </w:pPr>
      <w:r>
        <w:rPr>
          <w:rFonts w:ascii="Calibri" w:hAnsi="Calibri"/>
          <w:sz w:val="21"/>
        </w:rPr>
        <w:t>Layer 2 — Instability Accumulation and Nonlinear Release. Hyman Minsky (financial instability hypothesis): stability breeds instability; the longer an administered path holds, the more the system optimises around the assumption that it will continue to hold, making the eventual release more violent — the framework’s nonlinear-release hypothesis (§6.1) is an interpretive analogue of instability accumulation, not an estimated squared response function. Charles Kindleberger (manias, panics, crashes): administered confidence collapses suddenly once a critical threshold of participant belief crosses — the coiled spring does not release gradually; it releases in a single nonlinear event when the trust threshold is breached. Nassim Taleb (antifragility and fragility): surface stability conceals fragility accumulation; the EUR comparison is a candidate fragility test, not validation by clip-floor activation — the system appeared stable while becoming structurally more brittle with each passing measurement cycle.</w:t>
      </w:r>
    </w:p>
    <w:p>
      <w:pPr>
        <w:pStyle w:val="FXBody"/>
        <w:keepLines w:val="0"/>
        <w:widowControl/>
        <w:spacing w:after="160" w:line="252" w:lineRule="auto"/>
        <w:jc w:val="both"/>
      </w:pPr>
      <w:r>
        <w:rPr>
          <w:rFonts w:ascii="Calibri" w:hAnsi="Calibri"/>
          <w:sz w:val="21"/>
        </w:rPr>
        <w:t>Layer 3 — Administrative Capture and Sovereign Compression. Daron Acemoglu (extractive vs inclusive institutions): high cs capture rates are the extractive institution mechanic — the sovereign extracts incoming USD flows through state channels rather than allowing market allocation, which is compared by this framework with Acemoglu’s extractive elite capturing resource rents to maintain political equilibrium. Friedrich Hayek (price signal suppression): administrative corridors destroy the information content of the price signal — the separation of m_price from m_policy expresses the information loss associated with price suppression; the spring image remains doctrine, not stored energy measured by a coefficient. Karl Polanyi (the double movement): market compression creates counterpressure that eventually forces structural release; the framework’s orderly and messy case paths are the two forms Polanyi’s double movement takes — administered release versus forced decompression.</w:t>
      </w:r>
    </w:p>
    <w:p>
      <w:pPr>
        <w:pStyle w:val="FXBody"/>
        <w:keepLines w:val="0"/>
        <w:widowControl/>
        <w:spacing w:after="160" w:line="252" w:lineRule="auto"/>
        <w:jc w:val="both"/>
      </w:pPr>
      <w:r>
        <w:rPr>
          <w:rFonts w:ascii="Calibri" w:hAnsi="Calibri"/>
          <w:b/>
          <w:bCs/>
          <w:sz w:val="21"/>
        </w:rPr>
        <w:t>Layer 4 — Political Trust as Macro Variable. Francis Fukuyama (trust as social capital): institutional trust is a stock variable that degrades under sustained stress and cannot be instantly restored — the CDS gate (§6.5) is used here as an imperfect market proxy for Fukuyama’s trust stock; oscillation through the gate is trust flickering, not trust granted. Robert Putnam (civic disengagement and institutional social capital): bureaucratic node fatigue in §6.4 is Putnam’s civic disengagement applied to compliance infrastructure — when the social capital of the administrative system erodes, the formal structure persists while the functional execution degrades. Max Weber (legitimacy as load-bearing variable): administrative systems hold not through coercion alone but through perceived legitimacy; when legitimacy erodes the formal apparatus continues to issue instructions but the compliance rate quietly falls — Weber’s legitimacy decay is an interpretive reference for why burnout operates without a decree and why the trigger is exhaustion rather than revolt.</w:t>
      </w:r>
    </w:p>
    <w:p>
      <w:pPr>
        <w:pStyle w:val="FXBody"/>
        <w:keepLines w:val="0"/>
        <w:widowControl/>
        <w:spacing w:after="160" w:line="252" w:lineRule="auto"/>
        <w:jc w:val="both"/>
      </w:pPr>
      <w:r>
        <w:rPr>
          <w:rFonts w:ascii="Calibri" w:hAnsi="Calibri"/>
          <w:b/>
          <w:bCs/>
          <w:sz w:val="21"/>
        </w:rPr>
        <w:t>Theoretical Resonance Note (v8.1.6). These twelve thinkers span political economy, institutional economics, behavioral finance, price theory and sociology. They did not collaborate on this framework or describe FX compression directly. Their overlapping accounts of trust degradation, compliance erosion, instability and nonlinear release are suggestive, not confirmatory. The gates can be falsified without borrowing their authority. The reason to keep them is the standing objection: why does a macro FX model have political and institutional mechanics in it? Compatible accounts across four traditions give that question a serious mechanism-level answer. Call it interpretive resonance. It is not measurement-independent validation.</w:t>
      </w:r>
    </w:p>
    <w:p>
      <w:pPr>
        <w:pStyle w:val="FXHeading2"/>
        <w:keepNext/>
        <w:keepLines w:val="0"/>
        <w:widowControl/>
      </w:pPr>
      <w:r>
        <w:rPr>
          <w:color w:val="000000"/>
        </w:rPr>
        <w:t xml:space="preserve">6.5 Trust Calibration Under Oscillation (new in v7.6)</w:t>
      </w:r>
    </w:p>
    <w:p>
      <w:pPr>
        <w:pStyle w:val="FXBody"/>
        <w:keepLines w:val="0"/>
        <w:widowControl/>
        <w:spacing w:after="160" w:line="252" w:lineRule="auto"/>
        <w:jc w:val="both"/>
      </w:pPr>
      <w:r>
        <w:rPr>
          <w:rFonts w:ascii="Calibri" w:hAnsi="Calibri"/>
          <w:b w:val="false"/>
          <w:bCs w:val="false"/>
          <w:i w:val="false"/>
          <w:iCs w:val="false"/>
          <w:sz w:val="21"/>
        </w:rPr>
        <w:t>CDS is a market-priced credit observation, not an exact psychological meter. The accepted rule remains the &lt;250 bp four-week median. Old June point readings cannot establish current persistence, diagnose individual trust or prove why capital showed up.</w:t>
      </w:r>
    </w:p>
    <w:p>
      <w:pPr>
        <w:pStyle w:val="FXHeading1"/>
        <w:keepNext/>
        <w:keepLines w:val="0"/>
        <w:widowControl/>
      </w:pPr>
      <w:r>
        <w:rPr>
          <w:color w:val="000000"/>
        </w:rPr>
        <w:t xml:space="preserve">7. Gold Proxy Trigger</w:t>
      </w:r>
    </w:p>
    <w:p>
      <w:pPr>
        <w:pStyle w:val="FXBody"/>
        <w:keepLines w:val="0"/>
        <w:widowControl/>
        <w:spacing w:after="160" w:line="252" w:lineRule="auto"/>
        <w:jc w:val="both"/>
      </w:pPr>
      <w:r>
        <w:rPr>
          <w:rFonts w:ascii="Calibri" w:hAnsi="Calibri"/>
          <w:b w:val="0"/>
          <w:i w:val="0"/>
          <w:sz w:val="21"/>
        </w:rPr>
        <w:t>Gold above $4,200 on the declared four-week rolling-median series opens the gold price gate and sends us to attribution review. It establishes the qualifying price regime. USD structural devaluation, collateral repricing, reserve-system migration and Camp Inversion still need their causal case under §7.1A.</w:t>
      </w:r>
    </w:p>
    <w:p>
      <w:pPr>
        <w:pStyle w:val="FXHeading2"/>
        <w:keepNext/>
        <w:keepLines w:val="0"/>
        <w:widowControl/>
      </w:pPr>
      <w:r>
        <w:rPr>
          <w:color w:val="000000"/>
        </w:rPr>
        <w:t xml:space="preserve">7.1 Revaluation Context</w:t>
      </w:r>
    </w:p>
    <w:p>
      <w:pPr>
        <w:pStyle w:val="FXHeading2"/>
        <w:keepNext/>
        <w:keepLines w:val="0"/>
        <w:widowControl/>
      </w:pPr>
      <w:r>
        <w:rPr>
          <w:rFonts w:ascii="Aptos" w:hAnsi="Aptos"/>
          <w:b w:val="0"/>
          <w:i w:val="0"/>
          <w:color w:val="000000"/>
          <w:sz w:val="21"/>
        </w:rPr>
        <w:t>7.1A Gold Attribution Tribunal (new in v8.6)</w:t>
      </w:r>
    </w:p>
    <w:p>
      <w:pPr>
        <w:pStyle w:val="FXBody"/>
        <w:keepLines w:val="0"/>
        <w:widowControl/>
        <w:spacing w:line="252" w:lineRule="auto"/>
      </w:pPr>
      <w:r>
        <w:rPr>
          <w:rFonts w:ascii="Calibri" w:hAnsi="Calibri"/>
          <w:b w:val="0"/>
          <w:i w:val="0"/>
          <w:sz w:val="21"/>
        </w:rPr>
        <w:t>A qualifying four-week median opens the price gate. Then give attribution its own status: Thesis-Compatible, Mixed, Conventionally Explained, Proxy-Impaired or Indeterminate. Neither the band, the speed of the rise nor a matching narrative proves monetary migration without comparative evidence.</w:t>
      </w:r>
    </w:p>
    <w:p>
      <w:pPr>
        <w:pStyle w:val="FXBody"/>
        <w:keepLines w:val="0"/>
        <w:widowControl/>
        <w:spacing w:line="252" w:lineRule="auto"/>
      </w:pPr>
      <w:r>
        <w:rPr>
          <w:rFonts w:ascii="Calibri" w:hAnsi="Calibri"/>
          <w:b w:val="0"/>
          <w:i w:val="0"/>
          <w:sz w:val="21"/>
        </w:rPr>
        <w:t>Write down threshold state and attribution state separately. Attribution can be Thesis-Compatible, Mixed, Conventionally Explained, Proxy-Impaired or Indeterminate. We are not demanding impossible proof of a single cause. But a gate crossed for the wrong reason is still the wrong 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val="true"/>
          <w:tblHeader/>
          <w:cantSplit/>
        </w:trPr>
        <w:tc>
          <w:tcPr>
            <w:tcW w:type="dxa" w:w="2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Attribution component</w:t>
            </w:r>
          </w:p>
        </w:tc>
        <w:tc>
          <w:tcPr>
            <w:tcW w:type="dxa" w:w="3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Required observation</w:t>
            </w:r>
          </w:p>
        </w:tc>
        <w:tc>
          <w:tcPr>
            <w:tcW w:type="dxa" w:w="40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Effect on credit</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USD and real rates</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Matched change in DXY and real-yield measures</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Conventional explanation if sufficient</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Official-sector demand</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Reported purchases, reserve changes, timing</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Mixed unless thesis-specific sequence appears</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Positioning/leverage</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ETF flows, futures/options, liquidations</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Proxy-impaired when dominant</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Physical/regional premium</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Regional price and delivery premium</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Supports scarcity, not automatically inversion</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Geopolitical/liquidity stress</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Event window, funding and collateral measures</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Mixed or conventional unless discriminated</w:t>
            </w:r>
          </w:p>
        </w:tc>
      </w:tr>
    </w:tbl>
    <w:p>
      <w:pPr>
        <w:pStyle w:val="FXBody"/>
        <w:keepLines w:val="0"/>
        <w:widowControl/>
        <w:numPr>
          <w:ilvl w:val="0"/>
          <w:numId w:val="2"/>
        </w:numPr>
        <w:spacing w:after="100" w:line="252" w:lineRule="auto"/>
        <w:jc w:val="both"/>
      </w:pPr>
      <w:r>
        <w:rPr>
          <w:rFonts w:ascii="Calibri" w:hAnsi="Calibri"/>
          <w:b w:val="0"/>
          <w:i w:val="0"/>
          <w:sz w:val="21"/>
        </w:rPr>
        <w:t>US Treasury statutory gold-certificate valuation: $42.2222 per fine troy ounce under 31 U.S.C. §5117(b). Reserve Banks report gold certificates as an asset. This is an accounting/legal valuation, not a market price and not evidence that the Federal Reserve owns the underlying Treasury gold.</w:t>
      </w:r>
    </w:p>
    <w:p>
      <w:pPr>
        <w:pStyle w:val="FXBody"/>
        <w:keepLines w:val="0"/>
        <w:widowControl/>
        <w:numPr>
          <w:ilvl w:val="0"/>
          <w:numId w:val="2"/>
        </w:numPr>
        <w:spacing w:after="100" w:line="252" w:lineRule="auto"/>
        <w:jc w:val="both"/>
      </w:pPr>
      <w:r>
        <w:rPr>
          <w:rFonts w:ascii="Calibri" w:hAnsi="Calibri"/>
          <w:sz w:val="21"/>
        </w:rPr>
        <w:t xml:space="preserve">Current market price: $3,973.79/oz (24 June 2026); January 2026 cycle peak ~$4,800s</w:t>
      </w:r>
    </w:p>
    <w:p>
      <w:pPr>
        <w:pStyle w:val="FXBody"/>
        <w:keepLines w:val="0"/>
        <w:widowControl/>
        <w:numPr>
          <w:ilvl w:val="0"/>
          <w:numId w:val="2"/>
        </w:numPr>
        <w:spacing w:after="100" w:line="252" w:lineRule="auto"/>
        <w:jc w:val="both"/>
      </w:pPr>
      <w:r>
        <w:rPr>
          <w:rFonts w:ascii="Calibri" w:hAnsi="Calibri"/>
          <w:sz w:val="21"/>
        </w:rPr>
        <w:t xml:space="preserve">Implied revaluation multiple: ~94.6× at current spot</w:t>
      </w:r>
    </w:p>
    <w:p>
      <w:pPr>
        <w:pStyle w:val="FXBody"/>
        <w:keepLines w:val="0"/>
        <w:widowControl/>
        <w:spacing w:after="160" w:line="252" w:lineRule="auto"/>
        <w:jc w:val="both"/>
      </w:pPr>
      <w:r>
        <w:rPr>
          <w:rFonts w:ascii="Calibri" w:hAnsi="Calibri"/>
          <w:b/>
          <w:bCs/>
          <w:sz w:val="21"/>
        </w:rPr>
        <w:t>Keep the June alert in June. The source recorded $3,973.79 on 24 June 2026, below the $4,200 watch level. That is not a calculated rolling-median verdict. From that spot price, a fall to $3,800 was approximately 4.4% downside. Attribution and sustained deactivation each need their own evidence. This snapshot says nothing new about September.</w:t>
      </w:r>
    </w:p>
    <w:p>
      <w:pPr>
        <w:pStyle w:val="FXBody"/>
        <w:keepLines w:val="0"/>
        <w:widowControl/>
        <w:spacing w:after="160" w:line="252" w:lineRule="auto"/>
        <w:jc w:val="both"/>
      </w:pPr>
      <w:r>
        <w:rPr>
          <w:rFonts w:ascii="Calibri" w:hAnsi="Calibri"/>
          <w:b/>
          <w:bCs/>
          <w:sz w:val="21"/>
        </w:rPr>
        <w:t>Gold Proxy Abandonment Condition (reconciled v8.3). If the canonical gold four-week rolling median remains below $4,000 for 8 consecutive weeks while DXY is above 101, the gold proxy is deactivated and the four-way activation engine cannot become active. CDS and corridor monitoring continues, but cannot substitute for the missing primary gold leg. Reactivation requires the canonical median to reclaim $4,200 for 4 consecutive weeks. On 4 August current observations are near/below $4,100, but no abandonment verdict is issued because the canonical series and eight-week persistence ledger have not been completed.</w:t>
      </w:r>
      <w:r>
        <w:rPr>
          <w:rFonts w:ascii="Calibri" w:hAnsi="Calibri"/>
          <w:sz w:val="21"/>
        </w:rPr>
      </w:r>
    </w:p>
    <w:p>
      <w:pPr>
        <w:pStyle w:val="FXHeading2"/>
        <w:keepNext/>
        <w:keepLines w:val="0"/>
        <w:widowControl/>
      </w:pPr>
      <w:r>
        <w:rPr>
          <w:rFonts w:ascii="Aptos" w:hAnsi="Aptos"/>
          <w:b w:val="0"/>
          <w:i w:val="0"/>
          <w:color w:val="000000"/>
          <w:sz w:val="21"/>
        </w:rPr>
        <w:t>7.2 BITCOIN Act Legislative Pathway — Named, Staged, and Unfired (v9.0)</w:t>
      </w:r>
    </w:p>
    <w:p>
      <w:pPr>
        <w:pStyle w:val="FXBody"/>
        <w:keepLines w:val="0"/>
        <w:widowControl/>
        <w:spacing w:after="160" w:line="252" w:lineRule="auto"/>
        <w:jc w:val="both"/>
      </w:pPr>
      <w:r>
        <w:rPr>
          <w:rFonts w:ascii="Calibri" w:hAnsi="Calibri"/>
          <w:b w:val="0"/>
          <w:i w:val="0"/>
          <w:sz w:val="21"/>
        </w:rPr>
        <w:t>S.954 and H.R.2032, the BITCOIN Act of 2025, were introduced on 11 March 2025. Section 9 proposed reducing Reserve Bank statutory surplus; earmarking the first $6 billion of annual remittances for FY2025–2029 before repayment of any deferred asset if remittances occurred; tendering old gold certificates; issuing new certificates at fair-market value; remitting the difference to Treasury; funding purchases up to 1,000,000 BTC first; and applying excess funds to public-debt reduction. At the 4 August 2026 audit cutoff the pathway had not become enacted or operational policy. It is formal legislative-design evidence, not realized m_policy.</w:t>
      </w:r>
    </w:p>
    <w:p>
      <w:pPr>
        <w:pStyle w:val="FXBody"/>
        <w:keepLines w:val="0"/>
        <w:widowControl/>
        <w:spacing w:line="252" w:lineRule="auto"/>
      </w:pPr>
      <w:r>
        <w:rPr>
          <w:rFonts w:ascii="Calibri" w:hAnsi="Calibri"/>
          <w:b w:val="0"/>
          <w:i w:val="0"/>
          <w:sz w:val="21"/>
        </w:rPr>
        <w:t>Follow the legislative ladder one step at a time: proposed concept → introduced bill → committee action → chamber passage → bicameral passage → enrolled bill → enacted law → implementing rule or order → certificate transaction → Treasury expenditure and measured balance-sheet effect. Record a date and source for each step. A stage does not borrow the authority of the next one.</w:t>
      </w:r>
    </w:p>
    <w:p>
      <w:pPr>
        <w:pStyle w:val="FXHeading2"/>
        <w:keepNext/>
        <w:keepLines w:val="0"/>
        <w:widowControl/>
      </w:pPr>
      <w:r>
        <w:rPr>
          <w:rFonts w:ascii="Aptos" w:hAnsi="Aptos"/>
          <w:b w:val="0"/>
          <w:i w:val="0"/>
          <w:color w:val="000000"/>
          <w:sz w:val="21"/>
        </w:rPr>
        <w:t>7.2A Ownership, Accounting, and Legal Boundary (new in v9.0)</w:t>
      </w:r>
    </w:p>
    <w:p>
      <w:pPr>
        <w:pStyle w:val="FXBody"/>
        <w:keepLines w:val="0"/>
        <w:widowControl/>
        <w:numPr>
          <w:ilvl w:val="0"/>
          <w:numId w:val="2"/>
        </w:numPr>
        <w:spacing w:after="100" w:line="252" w:lineRule="auto"/>
        <w:jc w:val="both"/>
      </w:pPr>
      <w:r>
        <w:rPr>
          <w:rFonts w:ascii="Calibri" w:hAnsi="Calibri"/>
          <w:b w:val="0"/>
          <w:i w:val="0"/>
          <w:sz w:val="21"/>
        </w:rPr>
        <w:t>Treasury owns the United States official gold; Reserve Banks hold gold certificates as assets. Do not describe the bullion as Fed-owned gold.</w:t>
      </w:r>
    </w:p>
    <w:p>
      <w:pPr>
        <w:pStyle w:val="FXBody"/>
        <w:keepLines w:val="0"/>
        <w:widowControl/>
        <w:numPr>
          <w:ilvl w:val="0"/>
          <w:numId w:val="2"/>
        </w:numPr>
        <w:spacing w:after="100" w:line="252" w:lineRule="auto"/>
        <w:jc w:val="both"/>
      </w:pPr>
      <w:r>
        <w:rPr>
          <w:rFonts w:ascii="Calibri" w:hAnsi="Calibri"/>
          <w:b w:val="0"/>
          <w:i w:val="0"/>
          <w:sz w:val="21"/>
        </w:rPr>
        <w:t>The bill directs certificate reissue and remittance. It does not sell physical gold, and the reserve ounces remain unchanged.</w:t>
      </w:r>
    </w:p>
    <w:p>
      <w:pPr>
        <w:pStyle w:val="FXBody"/>
        <w:keepLines w:val="0"/>
        <w:widowControl/>
        <w:numPr>
          <w:ilvl w:val="0"/>
          <w:numId w:val="2"/>
        </w:numPr>
        <w:spacing w:after="100" w:line="252" w:lineRule="auto"/>
        <w:jc w:val="both"/>
      </w:pPr>
      <w:r>
        <w:rPr>
          <w:rFonts w:ascii="Calibri" w:hAnsi="Calibri"/>
          <w:b w:val="0"/>
          <w:i w:val="0"/>
          <w:sz w:val="21"/>
        </w:rPr>
        <w:t>Revaluation creates nominal Treasury spending capacity through public balance-sheet entries. It does not create new physical resources or free external wealth.</w:t>
      </w:r>
    </w:p>
    <w:p>
      <w:pPr>
        <w:pStyle w:val="FXBody"/>
        <w:keepLines w:val="0"/>
        <w:widowControl/>
        <w:numPr>
          <w:ilvl w:val="0"/>
          <w:numId w:val="2"/>
        </w:numPr>
        <w:spacing w:after="100" w:line="252" w:lineRule="auto"/>
        <w:jc w:val="both"/>
      </w:pPr>
      <w:r>
        <w:rPr>
          <w:rFonts w:ascii="Calibri" w:hAnsi="Calibri"/>
          <w:b w:val="0"/>
          <w:i w:val="0"/>
          <w:sz w:val="21"/>
        </w:rPr>
        <w:t>When Treasury spends, liability composition may migrate from the Treasury General Account into bank reserves. Exact journal entries remain conditional on enacted law and implementation; the Federal Reserve staff note uses stylized international examples, not an enacted US accounting rule.</w:t>
      </w:r>
    </w:p>
    <w:p>
      <w:pPr>
        <w:pStyle w:val="FXBody"/>
        <w:keepLines w:val="0"/>
        <w:widowControl/>
        <w:numPr>
          <w:ilvl w:val="0"/>
          <w:numId w:val="2"/>
        </w:numPr>
        <w:spacing w:after="100" w:line="252" w:lineRule="auto"/>
        <w:jc w:val="both"/>
      </w:pPr>
      <w:r>
        <w:rPr>
          <w:rFonts w:ascii="Calibri" w:hAnsi="Calibri"/>
          <w:b w:val="0"/>
          <w:i w:val="0"/>
          <w:sz w:val="21"/>
        </w:rPr>
        <w:t>Treasury-only benefit may differ from consolidated-public-sector benefit. Reserve remuneration, sterilization, future remittances, Bitcoin valuation and custody risk, and opportunity cost remain ledger items.</w:t>
      </w:r>
    </w:p>
    <w:p>
      <w:pPr>
        <w:pStyle w:val="FXBody"/>
        <w:keepLines w:val="0"/>
        <w:widowControl/>
        <w:numPr>
          <w:ilvl w:val="0"/>
          <w:numId w:val="2"/>
        </w:numPr>
        <w:spacing w:after="100" w:line="252" w:lineRule="auto"/>
        <w:jc w:val="both"/>
      </w:pPr>
      <w:r>
        <w:rPr>
          <w:rFonts w:ascii="Calibri" w:hAnsi="Calibri"/>
          <w:b w:val="0"/>
          <w:i w:val="0"/>
          <w:sz w:val="21"/>
        </w:rPr>
        <w:t>The deferred asset is accumulated negative Reserve Bank net income carried against future earnings. It is not a conventional Treasury receivable, insolvency event, or bar to monetary-policy operations. The bill’s priority language proves that drafters addressed the remittance order; it does not prove that Fed losses caused the proposal.</w:t>
      </w:r>
    </w:p>
    <w:p>
      <w:pPr>
        <w:pStyle w:val="FXHeading2"/>
        <w:keepNext/>
        <w:keepLines w:val="0"/>
        <w:widowControl/>
      </w:pPr>
      <w:r>
        <w:rPr>
          <w:rFonts w:ascii="Aptos" w:hAnsi="Aptos"/>
          <w:b w:val="0"/>
          <w:i w:val="0"/>
          <w:color w:val="000000"/>
          <w:sz w:val="21"/>
        </w:rPr>
        <w:t>7.2B Genesis Evidence Cluster — Corroborated Smoke (new in v9.0)</w:t>
      </w:r>
    </w:p>
    <w:p>
      <w:pPr>
        <w:pStyle w:val="FXBody"/>
        <w:keepLines w:val="0"/>
        <w:widowControl/>
        <w:spacing w:line="252" w:lineRule="auto"/>
      </w:pPr>
      <w:r>
        <w:rPr>
          <w:rFonts w:ascii="Calibri" w:hAnsi="Calibri"/>
          <w:b w:val="0"/>
          <w:i w:val="0"/>
          <w:sz w:val="21"/>
        </w:rPr>
        <w:t>Congressional design, executive reserve policy, Federal Reserve staff research and my encounter are separate observations with separate owners. Do not turn them into one coordinated actor. Together they establish a live mechanism and a class of fiscal pressure worth examining. They do not establish endorsement, imminence, hidden systemic breakdown, Turkish transmission or Camp Inversion's causal explanation.</w:t>
      </w:r>
    </w:p>
    <w:p>
      <w:pPr>
        <w:pStyle w:val="FXBody"/>
        <w:keepLines w:val="0"/>
        <w:widowControl/>
        <w:spacing w:line="252" w:lineRule="auto"/>
      </w:pPr>
      <w:r>
        <w:rPr>
          <w:rFonts w:ascii="Calibri" w:hAnsi="Calibri"/>
          <w:b w:val="0"/>
          <w:i w:val="0"/>
          <w:sz w:val="21"/>
        </w:rPr>
        <w:t>Cluster verdict: mechanism formally designed; multi-institution attention confirmed; fiscal-pressure relevance corroborated; enactment and implementation inactive at cutoff; hidden systemic cause, Turkish transmission, and endpoints Not Yet Discriminated.</w:t>
      </w:r>
    </w:p>
    <w:p>
      <w:pPr>
        <w:pStyle w:val="FXHeading2"/>
        <w:keepNext/>
        <w:keepLines w:val="0"/>
        <w:widowControl/>
      </w:pPr>
      <w:r>
        <w:rPr>
          <w:rFonts w:ascii="Aptos" w:hAnsi="Aptos"/>
          <w:b w:val="0"/>
          <w:i w:val="0"/>
          <w:color w:val="000000"/>
          <w:sz w:val="21"/>
        </w:rPr>
        <w:t>7.2C Ugly Long Conversion and the Texas Replacement-Cycle Hypothesis (new in v9.1)</w:t>
      </w:r>
    </w:p>
    <w:p>
      <w:pPr>
        <w:pStyle w:val="FXBody"/>
        <w:keepLines w:val="0"/>
        <w:widowControl/>
        <w:spacing w:line="252" w:lineRule="auto"/>
      </w:pPr>
      <w:r>
        <w:rPr>
          <w:rFonts w:ascii="Calibri" w:hAnsi="Calibri"/>
          <w:b w:val="0"/>
          <w:i w:val="0"/>
          <w:sz w:val="21"/>
        </w:rPr>
        <w:t>The China channel-removal hypothesis starts with the repeated sell-high/rebuy-low structure: proceeds can accumulate more units when the next purchase is cheaper. Remove a leverage, rolling, derivatives, settlement or venue channel, and several responses remain possible. Participants might liquidate, migrate, hedge, cut exposure, take delivery or keep unhedged outright inventory. “Ugly outright long” is our name for that last branch. It is not the assumed outcome. We still lack measurements of the affected legal population, compounding rate, inventory, financing and disposition shares.</w:t>
      </w:r>
    </w:p>
    <w:p>
      <w:pPr>
        <w:pStyle w:val="FXBody"/>
        <w:keepLines w:val="0"/>
        <w:widowControl/>
        <w:spacing w:line="252" w:lineRule="auto"/>
      </w:pPr>
      <w:r>
        <w:rPr>
          <w:rFonts w:ascii="Calibri" w:hAnsi="Calibri"/>
          <w:b w:val="0"/>
          <w:i w:val="0"/>
          <w:sz w:val="21"/>
        </w:rPr>
        <w:t>Replacement-cycle hypothesis. Y’all Street Physical Gold ETF (YSAU) is a Nasdaq-listed product whose initial creation basket is 10,000 shares for 100 fine troy ounces of eligible physical gold held through Texas custody. TXSE targets an initial ETP listing in September 2026, but at the 4 August audit cutoff no evidence establishes that YSAU will be that product or will be dual-listed there.</w:t>
      </w:r>
    </w:p>
    <w:p>
      <w:pPr>
        <w:pStyle w:val="FXBody"/>
        <w:keepLines w:val="0"/>
        <w:widowControl/>
        <w:spacing w:line="252" w:lineRule="auto"/>
      </w:pPr>
      <w:r>
        <w:rPr>
          <w:rFonts w:ascii="Calibri" w:hAnsi="Calibri"/>
          <w:b w:val="0"/>
          <w:i w:val="0"/>
          <w:sz w:val="21"/>
        </w:rPr>
        <w:t>If the same security trades on Nasdaq and TXSE, ordinary arbitrage should close venue differences in price, spread, rebates, depth and latency. That generates turnover. Physical gold demand requires the further step: persistent net demand creates ETF premiums, and authorized participants respond with basket creation and physical delivery. A different Texas product, share class, custody claim, redemption right or settlement path could sustain a product basis. Test that separately if it appears.</w:t>
      </w:r>
    </w:p>
    <w:p>
      <w:pPr>
        <w:pStyle w:val="FXBody"/>
        <w:keepLines w:val="0"/>
        <w:widowControl/>
        <w:spacing w:line="252" w:lineRule="auto"/>
      </w:pPr>
      <w:r>
        <w:rPr>
          <w:rFonts w:ascii="Calibri" w:hAnsi="Calibri"/>
          <w:b w:val="0"/>
          <w:i w:val="0"/>
          <w:sz w:val="21"/>
        </w:rPr>
        <w:t>Compare wrappers by gold entitlement: P_j / q_j, with P as price per share and q as fine troy ounces per share. “Three Texas shares equal one New York share” tells us nothing economically until both q values, fees, basket terms and quote times are declared. Recycling capital creates volume. Retaining exposure while units expand creates net physical demand.</w:t>
      </w:r>
    </w:p>
    <w:p>
      <w:pPr>
        <w:pStyle w:val="FXBody"/>
        <w:keepLines w:val="0"/>
        <w:widowControl/>
        <w:spacing w:line="252" w:lineRule="auto"/>
      </w:pPr>
      <w:r>
        <w:rPr>
          <w:rFonts w:ascii="Calibri" w:hAnsi="Calibri"/>
          <w:b w:val="0"/>
          <w:i w:val="0"/>
          <w:sz w:val="21"/>
        </w:rPr>
        <w:t>The reflexive chase is the hypothesis that Texas-led creations keep demanding eligible gold, lift the bullion reference used by both wrappers, raise New York NAVs, induce hedging or short covering, and pull New York liquidity after Texas-originated marginal demand. We need creations, ounces, AUM, premium/discount, venue lead-lag and bullion procurement before calling it confirmed. Duplicating a venue never multiplies the gold or the issuer's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val="true"/>
          <w:tblHeader/>
          <w:cantSplit/>
        </w:trPr>
        <w:tc>
          <w:tcPr>
            <w:tcW w:type="dxa" w:w="2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Observation</w:t>
            </w:r>
          </w:p>
        </w:tc>
        <w:tc>
          <w:tcPr>
            <w:tcW w:type="dxa" w:w="3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Current status at 4 Aug 2026</w:t>
            </w:r>
          </w:p>
        </w:tc>
        <w:tc>
          <w:tcPr>
            <w:tcW w:type="dxa" w:w="40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What would change classification</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Chinese bank-linked retail channel removal</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Operational access change; inventory scale unknown</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Account counts, open interest, forced closure/transfer/delivery data</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Ugly-long overhead supply</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Transmission hypothesis</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Persistent session supply tied to documented affected inventory</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YSAU physical creation pathway</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Operational product mechanism</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Net creations and additional Texas-held ounces</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YSAU on TXSE</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Not established; TXSE ETP launch is scheduled, product unspecified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Listing notice and first trading print</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Texas leads New York</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Not Yet Discriminated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Ounce-normalized lead-lag plus creations and physical procurement</w:t>
            </w:r>
          </w:p>
        </w:tc>
      </w:tr>
    </w:tbl>
    <w:p>
      <w:pPr>
        <w:widowControl/>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500"/>
        <w:gridCol w:w="1800"/>
        <w:gridCol w:w="1800"/>
        <w:gridCol w:w="2100"/>
        <w:gridCol w:w="1826"/>
      </w:tblGrid>
      <w:tr>
        <w:trPr>
          <w:tblHeader w:val="true"/>
          <w:tblHeader/>
          <w:cantSplit/>
        </w:trPr>
        <w:tc>
          <w:tcPr>
            <w:tcW w:type="dxa" w:w="15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Date</w:t>
            </w:r>
          </w:p>
        </w:tc>
        <w:tc>
          <w:tcPr>
            <w:tcW w:type="dxa" w:w="18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Institution / record</w:t>
            </w:r>
          </w:p>
        </w:tc>
        <w:tc>
          <w:tcPr>
            <w:tcW w:type="dxa" w:w="18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Raw fact</w:t>
            </w:r>
          </w:p>
        </w:tc>
        <w:tc>
          <w:tcPr>
            <w:tcW w:type="dxa" w:w="21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Supports</w:t>
            </w:r>
          </w:p>
        </w:tc>
        <w:tc>
          <w:tcPr>
            <w:tcW w:type="dxa" w:w="18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Cannot support</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6 Mar 2025</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White House EO 14233</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Strategic Bitcoin Reserve from forfeited BTC; directs budget-neutral strategies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Destination reserve and non-taxpayer acquisition objective</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Gold revaluation, S.954 enactment or Fed endorsement</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11 Mar 2025</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Congress: S.954 / H.R.2032</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Introduced gold-certificate and remittance mechanism</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Formal executable legislative design</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Law, implementation or causal necessity</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1 Aug 2025</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Federal Reserve staff FEDS Note</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Studies official reserve revaluations amid high public debt; US potential near 3% GDP</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Institutional research attention to mechanism class</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Board, FOMC or Treasury policy endorsement</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16 Aug 2025</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Genesis Exhibit</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Author preserves public presentation of bill text</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Contemporaneous discovery provenance</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Final source authority or policy status</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17 Aug 2025</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Framework v1.0 commencement</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Investigation begins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Research-lineage boundary</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Prediction credit without archived wording</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24 Sep 2025</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Later Fed balance-sheet report</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Consolidated deferred asset reported near $242bn</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Later outcome evidence for remittance constraint</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Retroactive improvement of founding evidence set</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4 Aug 2026</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Audit cutoff</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 enacted gold revaluation or measured certificate transaction</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Inactive-mechanism verdict</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Permanent impossibility or Null victory</w:t>
            </w:r>
          </w:p>
        </w:tc>
      </w:tr>
    </w:tbl>
    <w:p>
      <w:pPr>
        <w:pStyle w:val="FXHeading1"/>
        <w:keepNext/>
        <w:keepLines w:val="0"/>
        <w:widowControl/>
      </w:pPr>
      <w:r>
        <w:rPr>
          <w:color w:val="000000"/>
        </w:rPr>
        <w:t xml:space="preserve">7A. July 1 Fork: State Gold Contagion Layer (new in v7.6.3)</w:t>
      </w:r>
    </w:p>
    <w:p>
      <w:pPr>
        <w:pStyle w:val="FXBody"/>
        <w:keepLines w:val="0"/>
        <w:widowControl/>
        <w:spacing w:after="160" w:line="252" w:lineRule="auto"/>
        <w:jc w:val="both"/>
      </w:pPr>
      <w:r>
        <w:rPr>
          <w:rFonts w:ascii="Calibri" w:hAnsi="Calibri"/>
          <w:b w:val="false"/>
          <w:bCs w:val="false"/>
          <w:i w:val="false"/>
          <w:iCs w:val="false"/>
          <w:sz w:val="21"/>
        </w:rPr>
        <w:t>This chapter adds the legal-infrastructure route into the gold proxy. It changes no core operator, threshold, dashboard reading, doctrine or falsification rule. Its question is how state monetary law could change the explanations available for gold pricing, and why July 1, 2026 might accelerate that process without becoming a trigger. The core §7 account treats gold above $4,200 as a market-discovered proxy for USD collateral decay. This chapter proposes a second channel: monetary status built from below through law. One is price-discovered; the other is statute-built. The hypothesis is that their combination progressively narrows the room for non-monetary explanations of the gold bid. That is why this sits beside §7.2: federal gold certificates approach the statutory-to-market gap through top-down balance-sheet repair, while state tender approaches it through bottom-up monetary normalization.</w:t>
      </w:r>
    </w:p>
    <w:p>
      <w:pPr>
        <w:pStyle w:val="FXHeading2"/>
        <w:keepNext/>
        <w:keepLines w:val="0"/>
        <w:widowControl/>
      </w:pPr>
      <w:r>
        <w:rPr>
          <w:color w:val="000000"/>
        </w:rPr>
        <w:t xml:space="preserve">7A.1 The Legal-Infrastructure Channel: Florida as Emsal Uygulama</w:t>
      </w:r>
    </w:p>
    <w:p>
      <w:pPr>
        <w:pStyle w:val="FXBody"/>
        <w:keepLines w:val="0"/>
        <w:widowControl/>
        <w:spacing w:after="160" w:line="252" w:lineRule="auto"/>
        <w:jc w:val="both"/>
      </w:pPr>
      <w:r>
        <w:rPr>
          <w:rFonts w:ascii="Calibri" w:hAnsi="Calibri"/>
          <w:b w:val="false"/>
          <w:bCs w:val="false"/>
          <w:i w:val="false"/>
          <w:iCs w:val="false"/>
          <w:sz w:val="21"/>
        </w:rPr>
        <w:t xml:space="preserve">Florida CS/HB 999, signed May 27, 2025, recognizes qualifying gold coin (99.5% purity) and silver coin (99.9% purity) as legal tender for payment of debts incurred on or after July 1, 2026. The statute exempts qualifying specie from state sales tax, permits (without requiring) government entities to accept such coin electronically, regulates custodians and depositories under security, insurance, audit, and fiduciary standards, and establishes licensing for electronic specie settlement. Participation is entirely voluntary. The statute’s conditional ratification mechanism — implementing rules adopted by the CFO and Financial Services Commission, subject to legislative ratification — was satisfied in the 2026 session; the July 1, 2026 effective date is operational, not contingent.</w:t>
      </w:r>
    </w:p>
    <w:p>
      <w:pPr>
        <w:pStyle w:val="FXBody"/>
        <w:keepLines w:val="0"/>
        <w:widowControl/>
        <w:spacing w:after="160" w:line="252" w:lineRule="auto"/>
        <w:jc w:val="both"/>
      </w:pPr>
      <w:r>
        <w:rPr>
          <w:rFonts w:ascii="Calibri" w:hAnsi="Calibri"/>
          <w:b w:val="false"/>
          <w:bCs w:val="false"/>
          <w:i w:val="false"/>
          <w:iCs w:val="false"/>
          <w:sz w:val="21"/>
        </w:rPr>
        <w:t>Florida is not the first state to recognize specie as tender. Utah (2011), Oklahoma, Texas, Wyoming and others came earlier. The significance claimed here is scale, plumbing and replicability: a large-economy state operationalizing the framework; tender status paired with regulated depositories and electronic settlement; and a model-law chassis others can reuse. That is emsal uygulama—an implementation template, not binding precedent. With roughly 43 states already removing precious-metals sales tax and over 20 introducing legal-tender legislation, the proposed next step from tax exemption to operational tender has been drafted, demonstrated and politically priced.</w:t>
      </w:r>
    </w:p>
    <w:p>
      <w:pPr>
        <w:pStyle w:val="FXHeading2"/>
        <w:keepNext/>
        <w:keepLines w:val="0"/>
        <w:widowControl/>
      </w:pPr>
      <w:r>
        <w:rPr>
          <w:color w:val="000000"/>
        </w:rPr>
        <w:t xml:space="preserve">7A.2 The Two-Lane Classification Fork</w:t>
      </w:r>
    </w:p>
    <w:p>
      <w:pPr>
        <w:pStyle w:val="FXBody"/>
        <w:keepLines w:val="0"/>
        <w:widowControl/>
        <w:spacing w:after="160" w:line="252" w:lineRule="auto"/>
        <w:jc w:val="both"/>
      </w:pPr>
      <w:r>
        <w:rPr>
          <w:rFonts w:ascii="Calibri" w:hAnsi="Calibri"/>
          <w:b w:val="false"/>
          <w:bCs w:val="false"/>
          <w:i w:val="false"/>
          <w:iCs w:val="false"/>
          <w:sz w:val="21"/>
        </w:rPr>
        <w:t>The fork asks what replaces deteriorating USD collateral as the constitutional monetary alternative. The federal and state layers are building incompatible answers.</w:t>
      </w:r>
    </w:p>
    <w:p>
      <w:pPr>
        <w:pStyle w:val="FXBody"/>
        <w:keepLines w:val="0"/>
        <w:widowControl/>
        <w:spacing w:after="160" w:line="252" w:lineRule="auto"/>
        <w:jc w:val="both"/>
      </w:pPr>
      <w:r>
        <w:rPr>
          <w:rFonts w:ascii="Calibri" w:hAnsi="Calibri"/>
          <w:b/>
          <w:bCs/>
          <w:sz w:val="21"/>
        </w:rPr>
        <w:t xml:space="preserve">Federal layer. </w:t>
      </w:r>
      <w:r>
        <w:rPr>
          <w:rFonts w:ascii="Calibri" w:hAnsi="Calibri"/>
          <w:b w:val="false"/>
          <w:bCs w:val="false"/>
          <w:i w:val="false"/>
          <w:iCs w:val="false"/>
          <w:sz w:val="21"/>
        </w:rPr>
        <w:t xml:space="preserve">Washington defines the reserve-alternative story through crypto — Bitcoin reserve language, token rails, stablecoin frameworks, digital-asset legislation. The federal narrative requires crypto to be perceived as the legitimate successor layer to dollar plumbing.</w:t>
      </w:r>
    </w:p>
    <w:p>
      <w:pPr>
        <w:pStyle w:val="FXBody"/>
        <w:keepLines w:val="0"/>
        <w:widowControl/>
        <w:spacing w:after="160" w:line="252" w:lineRule="auto"/>
        <w:jc w:val="both"/>
      </w:pPr>
      <w:r>
        <w:rPr>
          <w:rFonts w:ascii="Calibri" w:hAnsi="Calibri"/>
          <w:b/>
          <w:bCs/>
          <w:sz w:val="21"/>
        </w:rPr>
        <w:t xml:space="preserve">State layer. </w:t>
      </w:r>
      <w:r>
        <w:rPr>
          <w:rFonts w:ascii="Calibri" w:hAnsi="Calibri"/>
          <w:b w:val="false"/>
          <w:bCs w:val="false"/>
          <w:i w:val="false"/>
          <w:iCs w:val="false"/>
          <w:sz w:val="21"/>
        </w:rPr>
        <w:t xml:space="preserve">States increasingly define the constitutional monetary alternative as gold and silver — the only assets Article I, Section 10 permits states to make a tender in payment of debts. States remove tax friction, recognize specie as tender, build depository and payment rails, and leave crypto classified as property, digital commodity, or non-monetary asset.</w:t>
      </w:r>
    </w:p>
    <w:p>
      <w:pPr>
        <w:pStyle w:val="FXBody"/>
        <w:keepLines w:val="0"/>
        <w:widowControl/>
        <w:spacing w:after="160" w:line="252" w:lineRule="auto"/>
        <w:jc w:val="both"/>
      </w:pPr>
      <w:r>
        <w:rPr>
          <w:rFonts w:ascii="Calibri" w:hAnsi="Calibri"/>
          <w:b/>
          <w:bCs/>
          <w:sz w:val="21"/>
        </w:rPr>
        <w:t>The classification trap does not require states to ban crypto. Put gold and silver in the money-adjacent tender lane, leave crypto in the property lane, and the federal crypto-reserve story faces a different contest. Crypto can still trade freely without automatically entering bank balance sheets as money or reserve-quality collateral, or gaining bottom-up constitutional tender legitimacy. The asymmetry proposed here is the pathway: specie has an explicit route into state monetary law; crypto needs affirmative statutory elevation and institutional acceptance at each step.</w:t>
      </w:r>
      <w:r>
        <w:rPr>
          <w:rFonts w:ascii="Calibri" w:hAnsi="Calibri"/>
          <w:b w:val="false"/>
          <w:bCs w:val="false"/>
          <w:i w:val="false"/>
          <w:iCs w:val="false"/>
          <w:sz w:val="21"/>
        </w:rPr>
      </w:r>
    </w:p>
    <w:p>
      <w:pPr>
        <w:pStyle w:val="FXBody"/>
        <w:keepLines w:val="0"/>
        <w:widowControl/>
        <w:spacing w:after="160" w:line="252" w:lineRule="auto"/>
        <w:jc w:val="both"/>
      </w:pPr>
      <w:r>
        <w:rPr>
          <w:rFonts w:ascii="Calibri" w:hAnsi="Calibri"/>
          <w:b/>
          <w:bCs/>
          <w:sz w:val="21"/>
        </w:rPr>
        <w:t>The proposed consequence is a split in monetary authority: federal digital-reserve language alongside state sound-money infrastructure. With sufficient state adoption, Washington could face political constraints even while a crypto-dollar or reserve-token layer exists. Physical gold and silver become the publicly recognized constitutional escape hatch in this scenario. Gold could then attract a policy premium as markets price the split, before any federal gold standard. This is not a claim of crypto suppression or completed dollar replacement.</w:t>
      </w:r>
      <w:r>
        <w:rPr>
          <w:rFonts w:ascii="Calibri" w:hAnsi="Calibri"/>
          <w:b w:val="false"/>
          <w:bCs w:val="false"/>
          <w:i w:val="false"/>
          <w:iCs w:val="false"/>
          <w:sz w:val="21"/>
        </w:rPr>
      </w:r>
    </w:p>
    <w:p>
      <w:pPr>
        <w:pStyle w:val="FXHeading2"/>
        <w:keepNext/>
        <w:keepLines w:val="0"/>
        <w:widowControl/>
      </w:pPr>
      <w:r>
        <w:rPr>
          <w:color w:val="000000"/>
        </w:rPr>
        <w:t xml:space="preserve">7A.3 July 1 as Deadline Accelerator</w:t>
      </w:r>
    </w:p>
    <w:p>
      <w:pPr>
        <w:pStyle w:val="FXBody"/>
        <w:keepLines w:val="0"/>
        <w:widowControl/>
        <w:spacing w:after="160" w:line="252" w:lineRule="auto"/>
        <w:jc w:val="both"/>
      </w:pPr>
      <w:r>
        <w:rPr>
          <w:rFonts w:ascii="Calibri" w:hAnsi="Calibri"/>
          <w:b w:val="false"/>
          <w:bCs w:val="false"/>
          <w:i w:val="false"/>
          <w:iCs w:val="false"/>
          <w:sz w:val="21"/>
        </w:rPr>
        <w:t>Operational state-gold infrastructure gives us a monetary-use channel to investigate. It does not erase conventional explanations or make every price rise monetary migration. Incremental credit needs adoption, settlement, demand and a discriminating price/flow sequence under §7.1A. July 1 stays a historical catalyst hypothesis. The date does not mechanically move the price.</w:t>
      </w:r>
    </w:p>
    <w:p>
      <w:pPr>
        <w:pStyle w:val="FXBody"/>
        <w:keepLines w:val="0"/>
        <w:widowControl/>
        <w:spacing w:after="160" w:line="252" w:lineRule="auto"/>
        <w:jc w:val="both"/>
      </w:pPr>
      <w:r>
        <w:rPr>
          <w:rFonts w:ascii="Calibri" w:hAnsi="Calibri"/>
          <w:b/>
          <w:bCs/>
          <w:sz w:val="21"/>
        </w:rPr>
        <w:t xml:space="preserve">Camp Inversion indexing note. </w:t>
      </w:r>
      <w:r>
        <w:rPr>
          <w:rFonts w:ascii="Calibri" w:hAnsi="Calibri"/>
          <w:b w:val="false"/>
          <w:bCs w:val="false"/>
          <w:i w:val="false"/>
          <w:iCs w:val="false"/>
          <w:sz w:val="21"/>
        </w:rPr>
        <w:t xml:space="preserve">All price levels in this chapter are quoted in the distorted-USD scenario index, per the §1.2/§2.1 dual-anchor convention. They are observation bands for the current pricing regime, not re-anchored-state values.</w:t>
      </w:r>
    </w:p>
    <w:p>
      <w:pPr>
        <w:pStyle w:val="FXBody"/>
        <w:keepLines w:val="0"/>
        <w:widowControl/>
        <w:spacing w:after="160" w:line="252" w:lineRule="auto"/>
        <w:jc w:val="both"/>
      </w:pPr>
      <w:r>
        <w:rPr>
          <w:rFonts w:ascii="Calibri" w:hAnsi="Calibri"/>
          <w:b/>
          <w:bCs/>
          <w:sz w:val="21"/>
        </w:rPr>
        <w:t>The state-gold channel belongs on the USD side of §16.1: it asks whether the distorted reference asset is being displaced as the legal monetary standard. It does not measure TL corridor administration. If confirmed, it supports the USD-side-leads ordering already required by Sequence Discipline; it does not change the rule.</w:t>
      </w:r>
      <w:r>
        <w:rPr>
          <w:rFonts w:ascii="Calibri" w:hAnsi="Calibri"/>
          <w:b w:val="false"/>
          <w:bCs w:val="false"/>
          <w:i w:val="false"/>
          <w:iCs w:val="false"/>
          <w:sz w:val="21"/>
        </w:rPr>
      </w:r>
    </w:p>
    <w:p>
      <w:pPr>
        <w:pStyle w:val="FXHeading2"/>
        <w:keepNext/>
        <w:keepLines w:val="0"/>
        <w:widowControl/>
      </w:pPr>
      <w:r>
        <w:rPr>
          <w:color w:val="000000"/>
        </w:rPr>
        <w:t xml:space="preserve">7A.4 Policy-Premium Trigger Ladder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tblHeade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Gold Band (USD/oz)</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Ladder Designation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Interpretation (distorted-USD index)</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4,200–4,250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Spring-loaded shelf</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Watch band; attribution unresolved.</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Break of 4,250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Spring unlock</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Upward price-band crossing; cause requires §7.1A.</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Fast print at 4,300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Limit-release confirmation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Fast price move; speed alone cannot exclude hedging.</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Reclaim of 4,500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First major band migration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Higher sustained price band; compare competing causes.</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4,800–5,000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Policy-premium repricing zone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Historical scenario band; monetary premium not inferred.</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5,000+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Motherlode / security-rally band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Upper watch band; no automatic monetary-regime verdict.</w:t>
            </w:r>
          </w:p>
        </w:tc>
      </w:tr>
    </w:tbl>
    <w:p>
      <w:pPr>
        <w:pStyle w:val="FXBody"/>
        <w:keepLines w:val="0"/>
        <w:widowControl/>
        <w:spacing w:after="160" w:line="252" w:lineRule="auto"/>
        <w:jc w:val="both"/>
      </w:pPr>
      <w:r>
        <w:rPr>
          <w:rFonts w:ascii="Calibri" w:hAnsi="Calibri"/>
          <w:b/>
          <w:bCs/>
          <w:sz w:val="21"/>
        </w:rPr>
        <w:t>Read these bands as confirmation tiers, not targets. Use the 4-week rolling median, following §6.5 and the v7.6.2 confirmation-strength definition. A fast print without median confirmation is volatility, not established migration. Keep the dated §7.1 context: spot at $3,973.79 had fallen below the shelf, placing the §7A.6 shelf-failure condition on rolling-median watch. The legal-infrastructure premium thesis needs a sustained rolling-median reclaim of $4,200 for reinstatement.</w:t>
      </w:r>
      <w:r>
        <w:rPr>
          <w:rFonts w:ascii="Calibri" w:hAnsi="Calibri"/>
          <w:b w:val="false"/>
          <w:bCs w:val="false"/>
          <w:i w:val="false"/>
          <w:iCs w:val="false"/>
          <w:sz w:val="21"/>
        </w:rPr>
      </w:r>
    </w:p>
    <w:p>
      <w:pPr>
        <w:pStyle w:val="FXHeading2"/>
        <w:keepNext/>
        <w:keepLines w:val="0"/>
        <w:widowControl/>
      </w:pPr>
      <w:r>
        <w:rPr>
          <w:color w:val="000000"/>
        </w:rPr>
        <w:t xml:space="preserve">7A.5 Dashboard Signal Addition — State Contagion Counter</w:t>
      </w:r>
    </w:p>
    <w:p>
      <w:pPr>
        <w:pStyle w:val="FXBody"/>
        <w:keepLines w:val="0"/>
        <w:widowControl/>
        <w:spacing w:after="160" w:line="252" w:lineRule="auto"/>
        <w:jc w:val="both"/>
      </w:pPr>
      <w:r>
        <w:rPr>
          <w:rFonts w:ascii="Calibri" w:hAnsi="Calibri"/>
          <w:b w:val="false"/>
          <w:bCs w:val="false"/>
          <w:i w:val="false"/>
          <w:iCs w:val="false"/>
          <w:sz w:val="21"/>
        </w:rPr>
        <w:t>The State Contagion Counter entered §16 as the eighth signal. Count states with operational specie tender—tender status plus functioning depository or electronic-settlement infrastructure—and watch for the first second large-economy state to follow. Review monthly, and event by event during legislative sessions. Contagion plus shelf-hold strengthens the legal-infrastructure premium thesis. Contagion without price confirmation stays structural background. Price strength without contagion returns attribution to the core §7 logic.</w:t>
      </w:r>
    </w:p>
    <w:p>
      <w:pPr>
        <w:pStyle w:val="FXHeading2"/>
        <w:keepNext/>
        <w:keepLines w:val="0"/>
        <w:widowControl/>
      </w:pPr>
      <w:r>
        <w:rPr>
          <w:color w:val="000000"/>
        </w:rPr>
        <w:t xml:space="preserve">7A.6 Falsification Clause — Timing/Catalyst Class</w:t>
      </w:r>
    </w:p>
    <w:p>
      <w:pPr>
        <w:pStyle w:val="FXBody"/>
        <w:keepLines w:val="0"/>
        <w:widowControl/>
        <w:spacing w:after="160" w:line="252" w:lineRule="auto"/>
        <w:jc w:val="both"/>
      </w:pPr>
      <w:r>
        <w:rPr>
          <w:rFonts w:ascii="Calibri" w:hAnsi="Calibri"/>
          <w:b w:val="false"/>
          <w:bCs w:val="false"/>
          <w:i w:val="false"/>
          <w:iCs w:val="false"/>
          <w:sz w:val="21"/>
        </w:rPr>
        <w:t>Under the v7.6.2 partition (§12.5), this chapter's own failure is an administration/timing event. It can weaken or delay the legal channel and move it into slow structural background without falsifying the core USD-side collateral-decay thesis. The following conditions test that distinction. The USD-reassertion row alone is core-class and supersedes this chapter entirely.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tblHeade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Falsification Indicator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Threshold Condition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Theoretical Implication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Operational stall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July 1 passes without functional depository / electronic-settlement activity in Florida within one quarter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Tender status remains symbolic; no usable monetary plumbing emerges</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Contagion failure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No additional state enacts or ratifies an operational (non-symbolic) specie-tender framework within two legislative cycles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Florida remains an outlier, not a model-law chassis; emsal uygulama channel void</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Shelf failure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Gold fails to hold the 4,200–4,250 shelf on a 4-week rolling median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Market rejects the legal-infrastructure premium; attribution reverts to core proxy logic only</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USD reassertion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DXY sustained reclaim above 103 (4+ weeks) — core-class condition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Core-class candidate; apply §12.3 corroboration. This chapter cannot bypass it.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Narrative dominance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Crypto remains the unambiguous reserve-alternative narrative in public markets through year-end despite state implementation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Classification trap fails to bind; federal narrative retains bottom-up legitimacy</w:t>
            </w:r>
          </w:p>
        </w:tc>
      </w:tr>
    </w:tbl>
    <w:p>
      <w:pPr>
        <w:pStyle w:val="FXBody"/>
        <w:keepLines w:val="0"/>
        <w:widowControl/>
        <w:spacing w:after="160" w:line="252" w:lineRule="auto"/>
        <w:jc w:val="both"/>
      </w:pPr>
      <w:r>
        <w:rPr>
          <w:rFonts w:ascii="Calibri" w:hAnsi="Calibri"/>
          <w:b w:val="false"/>
          <w:bCs w:val="false"/>
          <w:i w:val="false"/>
          <w:iCs w:val="false"/>
          <w:sz w:val="21"/>
        </w:rPr>
        <w:t xml:space="preserve">If chapter-specific conditions trigger, the state-gold layer is reclassified from immediate catalyst to slow structural background factor and the framework reverts to v7.6.2 behaviour without modification.</w:t>
      </w:r>
    </w:p>
    <w:p>
      <w:pPr>
        <w:pStyle w:val="FXHeading2"/>
        <w:keepNext/>
        <w:keepLines w:val="0"/>
        <w:widowControl/>
      </w:pPr>
      <w:r>
        <w:rPr>
          <w:color w:val="000000"/>
        </w:rPr>
        <w:t xml:space="preserve">7A.7 Scope Discipline: What This Chapter Does Not Claim</w:t>
      </w:r>
    </w:p>
    <w:p>
      <w:pPr>
        <w:pStyle w:val="FXBody"/>
        <w:keepLines w:val="0"/>
        <w:widowControl/>
        <w:spacing w:after="160" w:line="252" w:lineRule="auto"/>
        <w:jc w:val="both"/>
      </w:pPr>
      <w:r>
        <w:rPr>
          <w:rFonts w:ascii="Calibri" w:hAnsi="Calibri"/>
          <w:b/>
          <w:bCs/>
          <w:sz w:val="21"/>
        </w:rPr>
        <w:t xml:space="preserve">No gold standard claim. </w:t>
      </w:r>
      <w:r>
        <w:rPr>
          <w:rFonts w:ascii="Calibri" w:hAnsi="Calibri"/>
          <w:b w:val="false"/>
          <w:bCs w:val="false"/>
          <w:i w:val="false"/>
          <w:iCs w:val="false"/>
          <w:sz w:val="21"/>
        </w:rPr>
        <w:t xml:space="preserve">Tender statutes are voluntary-use frameworks, not convertibility regimes. No state, and no coalition of states, creates a US gold standard by this mechanism.</w:t>
      </w:r>
    </w:p>
    <w:p>
      <w:pPr>
        <w:pStyle w:val="FXBody"/>
        <w:keepLines w:val="0"/>
        <w:widowControl/>
        <w:spacing w:after="160" w:line="252" w:lineRule="auto"/>
        <w:jc w:val="both"/>
      </w:pPr>
      <w:r>
        <w:rPr>
          <w:rFonts w:ascii="Calibri" w:hAnsi="Calibri"/>
          <w:b/>
          <w:bCs/>
          <w:sz w:val="21"/>
        </w:rPr>
        <w:t xml:space="preserve">No date-trigger claim. </w:t>
      </w:r>
      <w:r>
        <w:rPr>
          <w:rFonts w:ascii="Calibri" w:hAnsi="Calibri"/>
          <w:b w:val="false"/>
          <w:bCs w:val="false"/>
          <w:i w:val="false"/>
          <w:iCs w:val="false"/>
          <w:sz w:val="21"/>
        </w:rPr>
        <w:t xml:space="preserve">July 1 is an accelerator of narrative migration, not a mechanical trigger. The chapter asserts an explanatory-regime shift, not a price event.</w:t>
      </w:r>
    </w:p>
    <w:p>
      <w:pPr>
        <w:pStyle w:val="FXBody"/>
        <w:keepLines w:val="0"/>
        <w:widowControl/>
        <w:spacing w:after="160" w:line="252" w:lineRule="auto"/>
        <w:jc w:val="both"/>
      </w:pPr>
      <w:r>
        <w:rPr>
          <w:rFonts w:ascii="Calibri" w:hAnsi="Calibri"/>
          <w:b/>
          <w:bCs/>
          <w:sz w:val="21"/>
        </w:rPr>
        <w:t xml:space="preserve">No crypto-collapse claim. </w:t>
      </w:r>
      <w:r>
        <w:rPr>
          <w:rFonts w:ascii="Calibri" w:hAnsi="Calibri"/>
          <w:b w:val="false"/>
          <w:bCs w:val="false"/>
          <w:i w:val="false"/>
          <w:iCs w:val="false"/>
          <w:sz w:val="21"/>
        </w:rPr>
        <w:t xml:space="preserve">The claim is narrower than crypto failure: crypto is structurally disadvantaged in the contest for bottom-up monetary legitimacy because it lacks a constitutional tender pathway. Its performance as an asset class is out of scope.</w:t>
      </w:r>
    </w:p>
    <w:p>
      <w:pPr>
        <w:pStyle w:val="FXBody"/>
        <w:keepLines w:val="0"/>
        <w:widowControl/>
        <w:spacing w:after="160" w:line="252" w:lineRule="auto"/>
        <w:jc w:val="both"/>
      </w:pPr>
      <w:r>
        <w:rPr>
          <w:rFonts w:ascii="Calibri" w:hAnsi="Calibri"/>
          <w:b/>
          <w:bCs/>
          <w:sz w:val="21"/>
        </w:rPr>
        <w:t>This layer adds a conditional catalyst, not a probability uplift. The v7.6.2 descriptive-layer, trend, magnitude and cascade confidence assessments stay as recorded. The claim is bounded: enough state adoption can create monetary-law pressure, tender precedent, less tax friction and narrative legitimacy that accelerate gold repricing. That is the claim to test.</w:t>
      </w:r>
      <w:r>
        <w:rPr>
          <w:rFonts w:ascii="Calibri" w:hAnsi="Calibri"/>
          <w:b w:val="false"/>
          <w:bCs w:val="false"/>
          <w:i w:val="false"/>
          <w:iCs w:val="false"/>
          <w:sz w:val="21"/>
        </w:rPr>
      </w:r>
    </w:p>
    <w:p>
      <w:pPr>
        <w:pStyle w:val="FXHeading1"/>
        <w:keepNext/>
        <w:keepLines w:val="0"/>
        <w:widowControl/>
      </w:pPr>
      <w:r>
        <w:rPr>
          <w:color w:val="000000"/>
        </w:rPr>
        <w:t xml:space="preserve">7B. Fort Knox Ratio Compression: Audit as Revaluation Cover (new in v7.6.4)</w:t>
      </w:r>
    </w:p>
    <w:p>
      <w:pPr>
        <w:pStyle w:val="FXBody"/>
        <w:keepLines w:val="0"/>
        <w:widowControl/>
        <w:spacing w:after="160" w:line="252" w:lineRule="auto"/>
        <w:jc w:val="both"/>
      </w:pPr>
      <w:r>
        <w:rPr>
          <w:rFonts w:ascii="Calibri" w:hAnsi="Calibri"/>
          <w:b w:val="false"/>
          <w:bCs w:val="false"/>
          <w:i w:val="false"/>
          <w:iCs w:val="false"/>
          <w:sz w:val="21"/>
        </w:rPr>
        <w:t>The gold-proxy account uses gold as confirmation that markets are repricing USD collateral quality, rather than as the causal driver. The old roughly $42/oz accounting value against market gold in the thousands is the proposed pressure valve. Fort Knox and reserve-audit language add a political channel: a public explanation for opening that valve.</w:t>
      </w:r>
    </w:p>
    <w:p>
      <w:pPr>
        <w:pStyle w:val="FXBody"/>
        <w:keepLines w:val="0"/>
        <w:widowControl/>
        <w:spacing w:after="160" w:line="252" w:lineRule="auto"/>
        <w:jc w:val="both"/>
      </w:pPr>
      <w:r>
        <w:rPr>
          <w:rFonts w:ascii="Calibri" w:hAnsi="Calibri"/>
          <w:b w:val="false"/>
          <w:bCs w:val="false"/>
          <w:i w:val="false"/>
          <w:iCs w:val="false"/>
          <w:sz w:val="21"/>
        </w:rPr>
        <w:t>I am not claiming US gold is missing. This chapter asks what happens if market belief starts assigning a non-zero probability to a haircut in deliverable gold.</w:t>
      </w:r>
    </w:p>
    <w:p>
      <w:pPr>
        <w:pStyle w:val="FXHeading2"/>
        <w:keepNext/>
        <w:keepLines w:val="0"/>
        <w:widowControl/>
      </w:pPr>
      <w:r>
        <w:rPr>
          <w:color w:val="000000"/>
        </w:rPr>
        <w:t xml:space="preserve">7B.1 Reported Reserve Ratio Versus Deliverable Reserve Ratio</w:t>
      </w:r>
    </w:p>
    <w:p>
      <w:pPr>
        <w:pStyle w:val="FXBody"/>
        <w:keepLines w:val="0"/>
        <w:widowControl/>
        <w:spacing w:after="160" w:line="252" w:lineRule="auto"/>
        <w:jc w:val="both"/>
      </w:pPr>
      <w:r>
        <w:rPr>
          <w:rFonts w:ascii="Calibri" w:hAnsi="Calibri"/>
          <w:b w:val="false"/>
          <w:bCs w:val="false"/>
          <w:i w:val="false"/>
          <w:iCs w:val="false"/>
          <w:sz w:val="21"/>
        </w:rPr>
        <w:t xml:space="preserve">The official U.S. gold reserve figure is approximately 8,133 tonnes. China’s reported official gold holdings are approximately 2,331.52 tonnes. On the official headline numbers, the United States appears to hold roughly 8,133 / 2,331.52 ≈ 3.49× China’s reported gold.</w:t>
      </w:r>
    </w:p>
    <w:p>
      <w:pPr>
        <w:pStyle w:val="FXBody"/>
        <w:keepLines w:val="0"/>
        <w:widowControl/>
        <w:spacing w:after="160" w:line="252" w:lineRule="auto"/>
        <w:jc w:val="both"/>
      </w:pPr>
      <w:r>
        <w:rPr>
          <w:rFonts w:ascii="Calibri" w:hAnsi="Calibri"/>
          <w:b w:val="false"/>
          <w:bCs w:val="false"/>
          <w:i w:val="false"/>
          <w:iCs w:val="false"/>
          <w:sz w:val="21"/>
        </w:rPr>
        <w:t xml:space="preserve">However, under a Fort Knox haircut scenario in which U.S. physically deliverable or unencumbered gold is closer to 5,400 tonnes, the ratio compresses to 5,400 / 2,331.52 ≈ 2.32× China’s reported gold. This is the core compression: the U.S. reserve advantage shifts from overwhelming to contestable, even before considering the possibility that China’s reported figure is a floor rather than a full sovereign-state-linked total.</w:t>
      </w:r>
    </w:p>
    <w:p>
      <w:pPr>
        <w:pStyle w:val="FXBody"/>
        <w:keepLines w:val="0"/>
        <w:widowControl/>
        <w:spacing w:after="160" w:line="252" w:lineRule="auto"/>
        <w:jc w:val="both"/>
      </w:pPr>
      <w:r>
        <w:rPr>
          <w:rFonts w:ascii="Calibri" w:hAnsi="Calibri"/>
          <w:b w:val="false"/>
          <w:bCs w:val="false"/>
          <w:i w:val="false"/>
          <w:iCs w:val="false"/>
          <w:sz w:val="21"/>
        </w:rPr>
        <w:t>We do not need to pretend the haircut is proved to state the question. The audit narrative creates a public setting where reported tonnage can be compared with deliverable collateral without the discussion immediately becoming a conspiracy claim. That is how gold's monetary role can return to the policy conversation.</w:t>
      </w:r>
    </w:p>
    <w:p>
      <w:pPr>
        <w:pStyle w:val="FXHeading2"/>
        <w:keepNext/>
        <w:keepLines w:val="0"/>
        <w:widowControl/>
      </w:pPr>
      <w:r>
        <w:rPr>
          <w:color w:val="000000"/>
        </w:rPr>
        <w:t xml:space="preserve">7B.2 Audit Excuse Versus Revaluation Excuse</w:t>
      </w:r>
    </w:p>
    <w:p>
      <w:pPr>
        <w:pStyle w:val="FXBody"/>
        <w:keepLines w:val="0"/>
        <w:widowControl/>
        <w:spacing w:after="160" w:line="252" w:lineRule="auto"/>
        <w:jc w:val="both"/>
      </w:pPr>
      <w:r>
        <w:rPr>
          <w:rFonts w:ascii="Calibri" w:hAnsi="Calibri"/>
          <w:b w:val="false"/>
          <w:bCs w:val="false"/>
          <w:i w:val="false"/>
          <w:iCs w:val="false"/>
          <w:sz w:val="21"/>
        </w:rPr>
        <w:t>The audit narrative offers three explanations policymakers could use: (1) verify sovereign reserve integrity; (2) update statutory gold accounting that no longer reflects economic reality; (3) mark collateral closer to market because the old book value has lost credibility among contested reserve assets. Those are the audit, revaluation and collateral-reset excuses.</w:t>
      </w:r>
      <w:r>
        <w:rPr>
          <w:rFonts w:ascii="Calibri" w:hAnsi="Calibri"/>
          <w:b/>
          <w:bCs/>
          <w:sz w:val="21"/>
        </w:rPr>
      </w:r>
      <w:r>
        <w:rPr>
          <w:rFonts w:ascii="Calibri" w:hAnsi="Calibri"/>
          <w:b w:val="false"/>
          <w:bCs w:val="false"/>
          <w:sz w:val="21"/>
        </w:rPr>
      </w:r>
      <w:r>
        <w:rPr>
          <w:rFonts w:ascii="Calibri" w:hAnsi="Calibri"/>
          <w:b/>
          <w:bCs/>
          <w:sz w:val="21"/>
        </w:rPr>
      </w:r>
      <w:r>
        <w:rPr>
          <w:rFonts w:ascii="Calibri" w:hAnsi="Calibri"/>
          <w:b w:val="false"/>
          <w:bCs w:val="false"/>
          <w:sz w:val="21"/>
        </w:rPr>
      </w:r>
      <w:r>
        <w:rPr>
          <w:rFonts w:ascii="Calibri" w:hAnsi="Calibri"/>
          <w:b/>
          <w:bCs/>
          <w:sz w:val="21"/>
        </w:rPr>
      </w:r>
      <w:r>
        <w:rPr>
          <w:rFonts w:ascii="Calibri" w:hAnsi="Calibri"/>
          <w:b w:val="false"/>
          <w:bCs w:val="false"/>
          <w:sz w:val="21"/>
        </w:rPr>
      </w:r>
    </w:p>
    <w:p>
      <w:pPr>
        <w:pStyle w:val="FXBody"/>
        <w:keepLines w:val="0"/>
        <w:widowControl/>
        <w:spacing w:after="160" w:line="252" w:lineRule="auto"/>
        <w:jc w:val="both"/>
      </w:pPr>
      <w:r>
        <w:rPr>
          <w:rFonts w:ascii="Calibri" w:hAnsi="Calibri"/>
          <w:b w:val="false"/>
          <w:bCs w:val="false"/>
          <w:i w:val="false"/>
          <w:iCs w:val="false"/>
          <w:sz w:val="21"/>
        </w:rPr>
        <w:t>The proposed political cover is simple: gold revaluation can be presented as administrative maintenance. The public line can remain, “We are not devaluing the dollar. We are updating reserve accounting to reflect collateral reality.” That lets the action appear as audit cleanup, balance-sheet hygiene and reserve integrity instead of being introduced as a radical monetary claim.</w:t>
      </w:r>
    </w:p>
    <w:p>
      <w:pPr>
        <w:pStyle w:val="FXHeading2"/>
        <w:keepNext/>
        <w:keepLines w:val="0"/>
        <w:widowControl/>
      </w:pPr>
      <w:r>
        <w:rPr>
          <w:color w:val="000000"/>
        </w:rPr>
        <w:t xml:space="preserve">7B.3 Bond-Villain Inversion: The Vault Need Not Fail</w:t>
      </w:r>
    </w:p>
    <w:p>
      <w:pPr>
        <w:pStyle w:val="FXBody"/>
        <w:keepLines w:val="0"/>
        <w:widowControl/>
        <w:spacing w:after="160" w:line="252" w:lineRule="auto"/>
        <w:jc w:val="both"/>
      </w:pPr>
      <w:r>
        <w:rPr>
          <w:rFonts w:ascii="Calibri" w:hAnsi="Calibri"/>
          <w:b w:val="false"/>
          <w:bCs w:val="false"/>
          <w:i w:val="false"/>
          <w:iCs w:val="false"/>
          <w:sz w:val="21"/>
        </w:rPr>
        <w:t>Goldfinger attacks the vault. This inversion does not need to touch it. The proposed destabilizer is doubt about whether reported gold, deliverable gold, encumbered gold and reserve-quality collateral really line up.</w:t>
      </w:r>
    </w:p>
    <w:p>
      <w:pPr>
        <w:pStyle w:val="FXBody"/>
        <w:keepLines w:val="0"/>
        <w:widowControl/>
        <w:spacing w:after="160" w:line="252" w:lineRule="auto"/>
        <w:jc w:val="both"/>
      </w:pPr>
      <w:r>
        <w:rPr>
          <w:rFonts w:ascii="Calibri" w:hAnsi="Calibri"/>
          <w:b w:val="false"/>
          <w:bCs w:val="false"/>
          <w:i w:val="false"/>
          <w:iCs w:val="false"/>
          <w:sz w:val="21"/>
        </w:rPr>
        <w:t>Missing gold would damage confidence, but “mostly present” can still matter if the audit exposes leasing, swaps, encumbrance, certificate mismatch, custody ambiguity or inconvenient accounting. An empty vault is not required. A reason to reprice the certainty attached to official reserve claims may be enough.</w:t>
      </w:r>
    </w:p>
    <w:p>
      <w:pPr>
        <w:pStyle w:val="FXBody"/>
        <w:keepLines w:val="0"/>
        <w:widowControl/>
        <w:spacing w:after="160" w:line="252" w:lineRule="auto"/>
        <w:jc w:val="both"/>
      </w:pPr>
      <w:r>
        <w:rPr>
          <w:rFonts w:ascii="Calibri" w:hAnsi="Calibri"/>
          <w:b w:val="false"/>
          <w:bCs w:val="false"/>
          <w:i w:val="false"/>
          <w:iCs w:val="false"/>
          <w:sz w:val="21"/>
        </w:rPr>
        <w:t>Goldfinger's target was Fort Knox. Here, the target is the confidence spread between the official reserve number and deliverable collateral reality.</w:t>
      </w:r>
    </w:p>
    <w:p>
      <w:pPr>
        <w:pStyle w:val="FXHeading2"/>
        <w:keepNext/>
        <w:keepLines w:val="0"/>
        <w:widowControl/>
      </w:pPr>
      <w:r>
        <w:rPr>
          <w:color w:val="000000"/>
        </w:rPr>
        <w:t xml:space="preserve">7B.4 Interaction With China Reserve Opacity</w:t>
      </w:r>
    </w:p>
    <w:p>
      <w:pPr>
        <w:pStyle w:val="FXBody"/>
        <w:keepLines w:val="0"/>
        <w:widowControl/>
        <w:spacing w:after="160" w:line="252" w:lineRule="auto"/>
        <w:jc w:val="both"/>
      </w:pPr>
      <w:r>
        <w:rPr>
          <w:rFonts w:ascii="Calibri" w:hAnsi="Calibri"/>
          <w:b w:val="false"/>
          <w:bCs w:val="false"/>
          <w:i w:val="false"/>
          <w:iCs w:val="false"/>
          <w:sz w:val="21"/>
        </w:rPr>
        <w:t>The China comparison uses the view, widely held among gold-market analysts in the source account, that the reported figure may be a floor rather than a complete sovereign-system total. We do not have to claim hidden gold is proved. The proposed asymmetry is that a US haircut weakens the headline US advantage while China's possible unreported total remains an open question. In that scenario, the gap compresses from both ends: less US certainty, continued Chinese optionality.</w:t>
      </w:r>
    </w:p>
    <w:p>
      <w:pPr>
        <w:pStyle w:val="FXBody"/>
        <w:keepLines w:val="0"/>
        <w:widowControl/>
        <w:spacing w:after="160" w:line="252" w:lineRule="auto"/>
        <w:jc w:val="both"/>
      </w:pPr>
      <w:r>
        <w:rPr>
          <w:rFonts w:ascii="Calibri" w:hAnsi="Calibri"/>
          <w:b w:val="false"/>
          <w:bCs w:val="false"/>
          <w:i w:val="false"/>
          <w:iCs w:val="false"/>
          <w:sz w:val="21"/>
        </w:rPr>
        <w:t>The proposed incentive is to defend the reserve-value comparison through a higher gold price if tonnage superiority looks less overwhelming. In this account, repricing the collateral becomes easier than adding metal.</w:t>
      </w:r>
    </w:p>
    <w:p>
      <w:pPr>
        <w:pStyle w:val="FXHeading2"/>
        <w:keepNext/>
        <w:keepLines w:val="0"/>
        <w:widowControl/>
      </w:pPr>
      <w:r>
        <w:rPr>
          <w:color w:val="000000"/>
        </w:rPr>
        <w:t xml:space="preserve">7B.5 Fit With Existing Gold Proxy Logic</w:t>
      </w:r>
    </w:p>
    <w:p>
      <w:pPr>
        <w:pStyle w:val="FXBody"/>
        <w:keepLines w:val="0"/>
        <w:widowControl/>
        <w:spacing w:after="160" w:line="252" w:lineRule="auto"/>
        <w:jc w:val="both"/>
      </w:pPr>
      <w:r>
        <w:rPr>
          <w:rFonts w:ascii="Calibri" w:hAnsi="Calibri"/>
          <w:b w:val="false"/>
          <w:bCs w:val="false"/>
          <w:i w:val="false"/>
          <w:iCs w:val="false"/>
          <w:sz w:val="21"/>
        </w:rPr>
        <w:t>Keep Fort Knox beside §7. It supplies a possible public explanation for gold being repriced as reserve collateral. It does not replace the proxy or cause USD devaluation by itself. Gold remains the confirmation channel in this account.</w:t>
      </w:r>
    </w:p>
    <w:p>
      <w:pPr>
        <w:pStyle w:val="FXBody"/>
        <w:keepLines w:val="0"/>
        <w:widowControl/>
        <w:spacing w:after="160" w:line="252" w:lineRule="auto"/>
        <w:jc w:val="both"/>
      </w:pPr>
      <w:r>
        <w:rPr>
          <w:rFonts w:ascii="Calibri" w:hAnsi="Calibri"/>
          <w:b w:val="false"/>
          <w:bCs w:val="false"/>
          <w:i w:val="false"/>
          <w:iCs w:val="false"/>
          <w:sz w:val="21"/>
        </w:rPr>
        <w:t>If gold reclaims the proxy bands while audit/revaluation language is active, this layer's attribution case strengthens. Without that language, fear, Fed policy, DXY and geopolitics remain available explanations. Audit language adds reserve-accounting migration to the possibilities. Combine it with state specie infrastructure, and the proposed explanatory shift is toward monetary collateral normalization. The attribution rules still govern that reading.</w:t>
      </w:r>
    </w:p>
    <w:p>
      <w:pPr>
        <w:pStyle w:val="FXHeading2"/>
        <w:keepNext/>
        <w:keepLines w:val="0"/>
        <w:widowControl/>
      </w:pPr>
      <w:r>
        <w:rPr>
          <w:color w:val="000000"/>
        </w:rPr>
        <w:t xml:space="preserve">7B.6 Dashboard Sub-Signal — Audit/Revaluation Narrative Counter</w:t>
      </w:r>
    </w:p>
    <w:p>
      <w:pPr>
        <w:pStyle w:val="FXBody"/>
        <w:keepLines w:val="0"/>
        <w:widowControl/>
        <w:spacing w:after="160" w:line="252" w:lineRule="auto"/>
        <w:jc w:val="both"/>
      </w:pPr>
      <w:r>
        <w:rPr>
          <w:rFonts w:ascii="Calibri" w:hAnsi="Calibri"/>
          <w:b w:val="false"/>
          <w:bCs w:val="false"/>
          <w:i w:val="false"/>
          <w:iCs w:val="false"/>
          <w:sz w:val="21"/>
        </w:rPr>
        <w:t xml:space="preserve">Add a soft sub-signal under the gold proxy layer (not a standalone dashboard signal). Track: (a) public official statements about Fort Knox inspection, reserve verification, or gold audit; (b) Congressional or Treasury language around gold certificates, statutory gold valuation, or reserve accounting; (c) media normalisation of gold revaluation as balance-sheet repair rather than monetary extremism; (d) any official distinction between reported, audited, deliverable, leased, swapped, or encumbered gold; (e) comparative reserve-ratio framing involving U.S. and Chinese gold holdings. Frequency: event-driven.</w:t>
      </w:r>
    </w:p>
    <w:p>
      <w:pPr>
        <w:pStyle w:val="FXBody"/>
        <w:keepLines w:val="0"/>
        <w:widowControl/>
        <w:spacing w:after="160" w:line="252" w:lineRule="auto"/>
        <w:jc w:val="both"/>
      </w:pPr>
      <w:r>
        <w:rPr>
          <w:rFonts w:ascii="Calibri" w:hAnsi="Calibri"/>
          <w:b w:val="false"/>
          <w:bCs w:val="false"/>
          <w:i w:val="false"/>
          <w:iCs w:val="false"/>
          <w:sz w:val="21"/>
        </w:rPr>
        <w:t>This counter measures whether gold revaluation is acquiring a socially and politically acceptable explanation. It is a narrative-legitimacy gauge. It does not trigger a price.</w:t>
      </w:r>
    </w:p>
    <w:p>
      <w:pPr>
        <w:pStyle w:val="FXHeading2"/>
        <w:keepNext/>
        <w:keepLines w:val="0"/>
        <w:widowControl/>
      </w:pPr>
      <w:r>
        <w:rPr>
          <w:color w:val="000000"/>
        </w:rPr>
        <w:t xml:space="preserve">7B.7 Trigger Interpretation</w:t>
      </w:r>
    </w:p>
    <w:p>
      <w:pPr>
        <w:pStyle w:val="FXBody"/>
        <w:keepLines w:val="0"/>
        <w:widowControl/>
        <w:spacing w:after="160" w:line="252" w:lineRule="auto"/>
        <w:jc w:val="both"/>
      </w:pPr>
      <w:r>
        <w:rPr>
          <w:rFonts w:ascii="Calibri" w:hAnsi="Calibri"/>
          <w:b w:val="false"/>
          <w:bCs w:val="false"/>
          <w:i w:val="false"/>
          <w:iCs w:val="false"/>
          <w:sz w:val="21"/>
        </w:rPr>
        <w:t xml:space="preserve">This layer </w:t>
      </w:r>
      <w:r>
        <w:rPr>
          <w:rFonts w:ascii="Calibri" w:hAnsi="Calibri"/>
          <w:b/>
          <w:bCs/>
          <w:sz w:val="21"/>
        </w:rPr>
        <w:t xml:space="preserve">strengthens</w:t>
      </w:r>
      <w:r>
        <w:rPr>
          <w:rFonts w:ascii="Calibri" w:hAnsi="Calibri"/>
          <w:b w:val="false"/>
          <w:bCs w:val="false"/>
          <w:sz w:val="21"/>
        </w:rPr>
        <w:t xml:space="preserve"> the gold proxy thesis if the following occur together: gold reclaims and holds the $4,200–$4,250 shelf on a 4-week rolling median; audit or reserve-accounting language remains active in official or high-level media channels; China reserve comparisons become part of public discussion; gold revaluation is framed as accounting hygiene, reserve integrity, or balance-sheet modernisation rather than as a gold-standard restoration.</w:t>
      </w:r>
    </w:p>
    <w:p>
      <w:pPr>
        <w:pStyle w:val="FXBody"/>
        <w:keepLines w:val="0"/>
        <w:widowControl/>
        <w:spacing w:after="160" w:line="252" w:lineRule="auto"/>
        <w:jc w:val="both"/>
      </w:pPr>
      <w:r>
        <w:rPr>
          <w:rFonts w:ascii="Calibri" w:hAnsi="Calibri"/>
          <w:b w:val="false"/>
          <w:bCs w:val="false"/>
          <w:i w:val="false"/>
          <w:iCs w:val="false"/>
          <w:sz w:val="21"/>
        </w:rPr>
        <w:t xml:space="preserve">It </w:t>
      </w:r>
      <w:r>
        <w:rPr>
          <w:rFonts w:ascii="Calibri" w:hAnsi="Calibri"/>
          <w:b/>
          <w:bCs/>
          <w:sz w:val="21"/>
        </w:rPr>
        <w:t xml:space="preserve">weakens</w:t>
      </w:r>
      <w:r>
        <w:rPr>
          <w:rFonts w:ascii="Calibri" w:hAnsi="Calibri"/>
          <w:b w:val="false"/>
          <w:bCs w:val="false"/>
          <w:sz w:val="21"/>
        </w:rPr>
        <w:t xml:space="preserve"> if: Fort Knox discussion disappears without follow-through; audit language remains purely symbolic or campaign-level; gold fails to reclaim the proxy shelf; DXY reasserts above the framework’s core threshold and gold remains below confirmation bands.</w:t>
      </w:r>
    </w:p>
    <w:p>
      <w:pPr>
        <w:pStyle w:val="FXHeading2"/>
        <w:keepNext/>
        <w:keepLines w:val="0"/>
        <w:widowControl/>
      </w:pPr>
      <w:r>
        <w:rPr>
          <w:color w:val="000000"/>
        </w:rPr>
        <w:t xml:space="preserve">7B.8 Scope Discipline</w:t>
      </w:r>
    </w:p>
    <w:p>
      <w:pPr>
        <w:pStyle w:val="FXBody"/>
        <w:keepLines w:val="0"/>
        <w:widowControl/>
        <w:spacing w:after="160" w:line="252" w:lineRule="auto"/>
        <w:jc w:val="both"/>
      </w:pPr>
      <w:r>
        <w:rPr>
          <w:rFonts w:ascii="Calibri" w:hAnsi="Calibri"/>
          <w:b w:val="false"/>
          <w:bCs w:val="false"/>
          <w:i w:val="false"/>
          <w:iCs w:val="false"/>
          <w:sz w:val="21"/>
        </w:rPr>
        <w:t>The boundaries stay put. This section establishes neither missing US gold, hidden Chinese gold, an imminent gold standard nor an audit that triggers repricing on its own. Gold and DXY thresholds, the CDS gate, corridor rule and sequence discipline are unchanged.</w:t>
      </w:r>
    </w:p>
    <w:p>
      <w:pPr>
        <w:pStyle w:val="FXHeading1"/>
        <w:keepNext/>
        <w:keepLines w:val="0"/>
        <w:widowControl/>
      </w:pPr>
      <w:r>
        <w:rPr>
          <w:rFonts w:ascii="Aptos" w:hAnsi="Aptos"/>
          <w:b w:val="0"/>
          <w:i w:val="0"/>
          <w:color w:val="000000"/>
          <w:sz w:val="21"/>
        </w:rPr>
        <w:t>7C. User-Defined Buffett–Gold Scenario Landmark (repaired in v8.6)</w:t>
      </w:r>
    </w:p>
    <w:p>
      <w:pPr>
        <w:pStyle w:val="FXBody"/>
        <w:keepLines w:val="0"/>
        <w:widowControl/>
        <w:spacing w:line="252" w:lineRule="auto"/>
      </w:pPr>
      <w:r>
        <w:rPr>
          <w:rFonts w:ascii="Calibri" w:hAnsi="Calibri"/>
          <w:sz w:val="21"/>
        </w:rPr>
        <w:t>Use the current declared market-capitalization/GDP reading as displayed percentage points, rounded upward to the next ten. That is my Buffett reference. It moves with the reading; we do not freeze it at a peak or treat it as an economic cap. It earns no activation credit.</w:t>
      </w:r>
    </w:p>
    <w:p>
      <w:pPr>
        <w:pStyle w:val="FXBody"/>
        <w:keepLines w:val="0"/>
        <w:widowControl/>
        <w:spacing w:line="252" w:lineRule="auto"/>
      </w:pPr>
      <w:r>
        <w:rPr>
          <w:rFonts w:ascii="Calibri" w:hAnsi="Calibri"/>
          <w:sz w:val="21"/>
        </w:rPr>
        <w:t>Keep the $4,094 times 2.40 calculation, giving about $9,826, only for provenance. A prior assistant supplied it; I have not supplied it as my original derivation. It differs from both the gold/statutory ratio and the displayed-point FX stress transform. It stays outside operative calculations.</w:t>
      </w:r>
    </w:p>
    <w:p>
      <w:pPr>
        <w:pStyle w:val="FXBody"/>
        <w:keepLines w:val="0"/>
        <w:widowControl/>
        <w:spacing w:after="160" w:line="252" w:lineRule="auto"/>
        <w:jc w:val="both"/>
      </w:pPr>
      <w:r>
        <w:rPr>
          <w:rFonts w:ascii="Calibri" w:hAnsi="Calibri"/>
          <w:b w:val="false"/>
          <w:bCs w:val="false"/>
          <w:i w:val="false"/>
          <w:iCs w:val="false"/>
          <w:sz w:val="21"/>
        </w:rPr>
        <w:t>The unbuffered-inversion experiment deliberately uses S=48 TRY per USD and B_ref=240 to give S/B_ref=0.20 TRY per USD, or $5 per TRY in reciprocal form. That is my intended scenario assumption. Dividing by the conventional 2.40 would give 20 TRY per USD and ask a different question. Appendix L tests the 0.20 counterfactual. Neither operation becomes a derived market forecast just because we can calculate it.</w:t>
      </w:r>
    </w:p>
    <w:p>
      <w:pPr>
        <w:pStyle w:val="FXBody"/>
        <w:keepLines w:val="0"/>
        <w:widowControl/>
        <w:spacing w:line="252" w:lineRule="auto"/>
      </w:pPr>
      <w:r>
        <w:rPr>
          <w:rFonts w:ascii="Calibri" w:hAnsi="Calibri"/>
          <w:b w:val="0"/>
          <w:i w:val="0"/>
          <w:sz w:val="21"/>
        </w:rPr>
        <w:t>At each watch, record B_display, B_ref, source, coverage and timestamp. No peak freeze applies to the current reference. Historical outputs keep their dates. Correct arithmetic earns no gate credit, and crossing the reference does not compel review or release.</w:t>
      </w:r>
    </w:p>
    <w:p>
      <w:pPr>
        <w:pStyle w:val="FXHeading1"/>
        <w:keepNext/>
        <w:keepLines w:val="0"/>
        <w:widowControl/>
      </w:pPr>
      <w:r>
        <w:rPr>
          <w:color w:val="000000"/>
        </w:rPr>
        <w:t xml:space="preserve">8. Operational Defensive Architecture</w:t>
      </w:r>
    </w:p>
    <w:p>
      <w:pPr>
        <w:pStyle w:val="FXBody"/>
        <w:keepLines w:val="0"/>
        <w:widowControl/>
        <w:spacing w:after="160" w:line="252" w:lineRule="auto"/>
        <w:jc w:val="both"/>
      </w:pPr>
      <w:r>
        <w:rPr>
          <w:rFonts w:ascii="Calibri" w:hAnsi="Calibri"/>
          <w:b/>
          <w:bCs/>
          <w:sz w:val="21"/>
        </w:rPr>
        <w:t>The Stone Sentinel maze is deliberate. Leave the data entrances open for the expected objections. Then the reviewer has to bring evidence, name the mechanism and confront the strongest Null. A passage can confirm a narrow claim, expose a contradiction or end unresolved. Walking an attack into the maze does not mean we defeated it. An empty entrance does not automatically need patching.</w:t>
      </w:r>
    </w:p>
    <w:p>
      <w:pPr>
        <w:pStyle w:val="FXHeading2"/>
        <w:keepNext/>
        <w:keepLines w:val="0"/>
        <w:widowControl/>
      </w:pPr>
      <w:r>
        <w:rPr>
          <w:color w:val="000000"/>
        </w:rPr>
        <w:t xml:space="preserve">8.1 Fiscal Judo: Calculated Vulnerabilities</w:t>
      </w:r>
    </w:p>
    <w:p>
      <w:pPr>
        <w:pStyle w:val="FXBody"/>
        <w:keepLines w:val="0"/>
        <w:widowControl/>
        <w:spacing w:after="160" w:line="252" w:lineRule="auto"/>
        <w:jc w:val="both"/>
      </w:pPr>
      <w:r>
        <w:rPr>
          <w:rFonts w:ascii="Calibri" w:hAnsi="Calibri"/>
          <w:sz w:val="21"/>
        </w:rPr>
        <w:t>Fiscal Judo starts with that intentionally empty data layer. If the objection concerns debt, reserves, banks, sterilization or flows, specify the row and populate it. Confirmation needs evidence that separates the accounts. Failed or incomplete retrieval leaves the test open. A unit error or conflicting rule is a different matter: that is an accidental defect to repair. Appendix L keeps the actual passages from this audit.</w:t>
      </w:r>
    </w:p>
    <w:p>
      <w:pPr>
        <w:pStyle w:val="FXHeading2"/>
        <w:keepNext/>
        <w:keepLines w:val="0"/>
        <w:widowControl/>
      </w:pPr>
      <w:r>
        <w:rPr>
          <w:color w:val="000000"/>
        </w:rPr>
        <w:t xml:space="preserve">8.2 Brazilian Jiu-Jitsu: Ground-Level Data Anchoring</w:t>
      </w:r>
    </w:p>
    <w:p>
      <w:pPr>
        <w:pStyle w:val="FXBody"/>
        <w:keepLines w:val="0"/>
        <w:widowControl/>
        <w:spacing w:after="160" w:line="252" w:lineRule="auto"/>
        <w:jc w:val="both"/>
      </w:pPr>
      <w:r>
        <w:rPr>
          <w:rFonts w:ascii="Calibri" w:hAnsi="Calibri"/>
          <w:b w:val="false"/>
          <w:bCs w:val="false"/>
          <w:i w:val="false"/>
          <w:iCs w:val="false"/>
          <w:sz w:val="21"/>
        </w:rPr>
        <w:t>BJJ takes the challenge to the ground: retrievable observations, named owners, units and dates. Statutory gold values, intervention records, reserve transactions and credit conditions are different evidence classes. Both camps face the same record, and the Sentinel gives a verdict with a defined scope. General theory cannot overrule a measured contradiction. Proving one mechanism does not prove every endpoint downstream.</w:t>
      </w:r>
    </w:p>
    <w:p>
      <w:pPr>
        <w:pStyle w:val="FXHeading1"/>
        <w:keepNext/>
        <w:keepLines w:val="0"/>
        <w:widowControl/>
      </w:pPr>
      <w:r>
        <w:rPr>
          <w:color w:val="000000"/>
        </w:rPr>
        <w:t xml:space="preserve">9. Saudi Arabian Riyal: Fixed-Peg Decay &amp; Sovereign Collateral Mutation</w:t>
      </w:r>
    </w:p>
    <w:p>
      <w:pPr>
        <w:pStyle w:val="FXHeading2"/>
        <w:keepNext/>
        <w:keepLines w:val="0"/>
        <w:widowControl/>
      </w:pPr>
      <w:r>
        <w:rPr>
          <w:color w:val="000000"/>
        </w:rPr>
        <w:t xml:space="preserve">9.1 Boundary Condition &amp; Live Wartime Calibration</w:t>
      </w:r>
    </w:p>
    <w:p>
      <w:pPr>
        <w:pStyle w:val="FXBody"/>
        <w:keepLines w:val="0"/>
        <w:widowControl/>
        <w:spacing w:after="160" w:line="252" w:lineRule="auto"/>
        <w:jc w:val="both"/>
      </w:pPr>
      <w:r>
        <w:rPr>
          <w:rFonts w:ascii="Calibri" w:hAnsi="Calibri"/>
          <w:b w:val="false"/>
          <w:bCs w:val="false"/>
          <w:i w:val="false"/>
          <w:iCs w:val="false"/>
          <w:sz w:val="21"/>
        </w:rPr>
        <w:t>The SAR peg fixes a nominal price. It does not measure an eligible-flow capture fraction of one. Keep the fixed-peg stress hypothesis, but bring direct evidence for reserves, commitments, funding and defence costs. Hidden collateral deterioration and binary release still have to earn support.</w:t>
      </w:r>
    </w:p>
    <w:p>
      <w:pPr>
        <w:pStyle w:val="FXBody"/>
        <w:keepLines w:val="0"/>
        <w:widowControl/>
        <w:spacing w:after="160" w:line="252" w:lineRule="auto"/>
        <w:jc w:val="both"/>
      </w:pPr>
      <w:r>
        <w:rPr>
          <w:rFonts w:ascii="Calibri" w:hAnsi="Calibri"/>
          <w:b/>
          <w:bCs/>
          <w:sz w:val="21"/>
        </w:rPr>
        <w:t xml:space="preserve">June 2026 data. </w:t>
      </w:r>
      <w:r>
        <w:rPr>
          <w:rFonts w:ascii="Calibri" w:hAnsi="Calibri"/>
          <w:sz w:val="21"/>
        </w:rPr>
        <w:t xml:space="preserve">SAMA net foreign assets ~$448 bn (January); total foreign reserve assets ~SAR 1.86 tn (~$495 bn) by April — reserves rising through the war shock (Dec 1.726 → Jan 1.785 → Apr ~1.855, SAR tn). Import cover 20+ months; repo 4.25% after a December 2025 cut tracking the Fed. The peg survived 1990–91, 2008, 2014–16, and 2020 — but the current configuration is qualitatively new: oil prices elevated while exportable volume is throttled by a contested Strait of Hormuz and direct attacks on export infrastructure. This is the revenue paradox — price and volume channels of sovereign revenue decoupled — and it is the live stress geometry this section was written to monitor.</w:t>
      </w:r>
    </w:p>
    <w:p>
      <w:pPr>
        <w:pStyle w:val="FXBody"/>
        <w:keepLines w:val="0"/>
        <w:widowControl/>
        <w:spacing w:after="160" w:line="252" w:lineRule="auto"/>
        <w:jc w:val="both"/>
      </w:pPr>
      <w:r>
        <w:rPr>
          <w:rFonts w:ascii="Calibri" w:hAnsi="Calibri"/>
          <w:b/>
          <w:bCs/>
          <w:sz w:val="21"/>
        </w:rPr>
        <w:t>Rising SAMA reserves cut both ways, so write both readings down. Reading A supports the thesis: wartime peg defence keeps accumulating USD even as collateral decays, with containment hiding the pressure. Reading B is adverse: the sovereign is choosing USD liquidity over diversification, Ω → 0. The falsification rule separates them only when reserve growth coincides with DXY &gt; 103. At DXY ≈ 100, the signal is formally ambiguous. Log it that way.</w:t>
      </w:r>
      <w:r>
        <w:rPr>
          <w:rFonts w:ascii="Calibri" w:hAnsi="Calibri"/>
          <w:sz w:val="21"/>
        </w:rPr>
      </w:r>
    </w:p>
    <w:p>
      <w:pPr>
        <w:pStyle w:val="FXHeading2"/>
        <w:keepNext/>
        <w:keepLines w:val="0"/>
        <w:widowControl/>
      </w:pPr>
      <w:r>
        <w:rPr>
          <w:color w:val="000000"/>
        </w:rPr>
        <w:t xml:space="preserve">9.2 The Peg Compression Paradox</w:t>
      </w:r>
    </w:p>
    <w:p>
      <w:pPr>
        <w:pStyle w:val="FXBody"/>
        <w:keepLines w:val="0"/>
        <w:widowControl/>
        <w:spacing w:after="160" w:line="252" w:lineRule="auto"/>
        <w:jc w:val="both"/>
      </w:pPr>
      <w:r>
        <w:rPr>
          <w:rFonts w:ascii="Calibri" w:hAnsi="Calibri"/>
          <w:b w:val="0"/>
          <w:i w:val="0"/>
          <w:sz w:val="21"/>
        </w:rPr>
        <w:t>Once gold meets the declared $4,200 persistence rule, open the price gate and the §7.1A attribution review. That price event alone does not validate USD structural devaluation, collateral repricing or reserve-system migration.</w:t>
      </w:r>
    </w:p>
    <w:p>
      <w:pPr>
        <w:pStyle w:val="FXHeading2"/>
        <w:keepNext/>
        <w:keepLines w:val="0"/>
        <w:widowControl/>
      </w:pPr>
      <w:r>
        <w:rPr>
          <w:color w:val="000000"/>
        </w:rPr>
        <w:t xml:space="preserve">9.3 αsar State Transition — Current Estimate</w:t>
      </w:r>
    </w:p>
    <w:p>
      <w:pPr>
        <w:pStyle w:val="FXBody"/>
        <w:keepLines w:val="0"/>
        <w:widowControl/>
        <w:spacing w:after="160" w:before="80" w:line="252" w:lineRule="auto"/>
        <w:ind w:left="360"/>
      </w:pPr>
      <w:r>
        <w:rPr>
          <w:rFonts w:ascii="Calibri" w:hAnsi="Calibri"/>
          <w:sz w:val="21"/>
        </w:rPr>
        <w:t>α_sar = (Ω · γ_cap) / Net Liquid FX Reserves; any release magnitude remains dependent on an uncalibrated transmission operator.</w:t>
      </w:r>
    </w:p>
    <w:p>
      <w:pPr>
        <w:pStyle w:val="FXBody"/>
        <w:keepLines w:val="0"/>
        <w:widowControl/>
        <w:spacing w:after="160" w:line="252" w:lineRule="auto"/>
        <w:jc w:val="both"/>
      </w:pPr>
      <w:r>
        <w:rPr>
          <w:rFonts w:ascii="Calibri" w:hAnsi="Calibri"/>
          <w:b w:val="false"/>
          <w:bCs w:val="false"/>
          <w:i w:val="false"/>
          <w:iCs w:val="false"/>
          <w:sz w:val="21"/>
        </w:rPr>
        <w:t>Alpha is indeterminate in this audit. The old 0.1-or-less estimate has no populated, owner-matched Omega worksheet behind it. Dividing a global flow estimate by Saudi reserves does not measure Saudi transition pressure. Unity remains an inherited review convention, not demonstrated proof that the peg fails there. Keep monitoring funding and reserves.</w:t>
      </w:r>
    </w:p>
    <w:p>
      <w:pPr>
        <w:pStyle w:val="FXHeading2"/>
        <w:keepNext/>
        <w:keepLines w:val="0"/>
        <w:widowControl/>
      </w:pPr>
      <w:r>
        <w:rPr>
          <w:color w:val="000000"/>
        </w:rPr>
        <w:t xml:space="preserve">9.4 SAR Falsification Perimeters — Status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700"/>
        <w:gridCol w:w="2100"/>
        <w:gridCol w:w="2100"/>
        <w:gridCol w:w="3126"/>
      </w:tblGrid>
      <w:tr>
        <w:trPr>
          <w:tblHeader/>
          <w:tblHeade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Condition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Threshold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24 Jun 2026 reading</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Verdict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Sustained reserve expansion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SAMA net liquid reserves +15% over rolling 3m while DXY &gt; 103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Reserves rising (~+4% Dec→Jan; ~+7% Dec→Apr) but DXY ≈ 100</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NOT TRIGGERED — reserve leg moving; only the DXY leg protects the thesis</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Gold proxy collapse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Sustained breakdown &lt; $3,800/oz</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Historical spot $3,973.79; approximately 4.4% decline to $3,800 (4.6% above floor).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NOT TRIGGERED — ~12% buffer; trend adverse since 30 Jan</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Capitulation-channel rail (new, v7.6)</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G7 rates +100 bp cumulative over any 12m while gold below prior high and DXY ≥ 100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December-hike pricing ~70%; rail armed, not fired</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ARMED — first time genuinely in play; if fired, SAR transition must arrive via Ω or μcap channels alone</w:t>
            </w:r>
          </w:p>
        </w:tc>
      </w:tr>
    </w:tbl>
    <w:p>
      <w:pPr>
        <w:pStyle w:val="FXHeading2"/>
        <w:keepNext/>
        <w:keepLines w:val="0"/>
        <w:widowControl/>
      </w:pPr>
      <w:r>
        <w:rPr>
          <w:rFonts w:ascii="Aptos" w:hAnsi="Aptos"/>
          <w:b w:val="0"/>
          <w:i w:val="0"/>
          <w:color w:val="000000"/>
          <w:sz w:val="21"/>
        </w:rPr>
        <w:t>9.5 Milo Murphy Transposition &amp; Friction — Live Test</w:t>
      </w:r>
    </w:p>
    <w:p>
      <w:pPr>
        <w:pStyle w:val="FXBody"/>
        <w:keepLines w:val="0"/>
        <w:widowControl/>
        <w:spacing w:after="160" w:line="252" w:lineRule="auto"/>
        <w:jc w:val="both"/>
      </w:pPr>
      <w:r>
        <w:rPr>
          <w:rFonts w:ascii="Calibri" w:hAnsi="Calibri"/>
          <w:b w:val="0"/>
          <w:i w:val="0"/>
          <w:sz w:val="21"/>
        </w:rPr>
        <w:t>Earlier μcap discussion used a hypothetical administrative freeze. Hormuz gives the source account an observable kinetic-interdiction channel: export value is throttled while obligations keep running. The correction matters. Blocking revenue inflow is different from trapping outbound USD; peg pressure arrives through the fiscal channel rather than automatic monetary expansion. Both routes may accelerate αsar, but the ledger has to identify the one actually operating. Kinetic interdiction is now represented, so it goes through the gates. It does not spend Milo. Milo stays for the next mechanism we have not represented at all, and §12.6 still limits what the gates may absorb.</w:t>
      </w:r>
    </w:p>
    <w:p>
      <w:pPr>
        <w:pStyle w:val="FXHeading1"/>
        <w:keepNext/>
        <w:keepLines w:val="0"/>
        <w:widowControl/>
      </w:pPr>
      <w:r>
        <w:rPr>
          <w:color w:val="000000"/>
        </w:rPr>
        <w:t xml:space="preserve">10. MEA Regional Capital Channels</w:t>
      </w:r>
    </w:p>
    <w:p>
      <w:pPr>
        <w:pStyle w:val="FXHeading2"/>
        <w:keepNext/>
        <w:keepLines w:val="0"/>
        <w:widowControl/>
      </w:pPr>
      <w:r>
        <w:rPr>
          <w:color w:val="000000"/>
        </w:rPr>
        <w:t xml:space="preserve">10.1 The Two-Tier Corridor</w:t>
      </w:r>
    </w:p>
    <w:p>
      <w:pPr>
        <w:pStyle w:val="FXBody"/>
        <w:keepLines w:val="0"/>
        <w:widowControl/>
        <w:numPr>
          <w:ilvl w:val="0"/>
          <w:numId w:val="2"/>
        </w:numPr>
        <w:spacing w:after="100" w:line="252" w:lineRule="auto"/>
        <w:jc w:val="both"/>
      </w:pPr>
      <w:r>
        <w:rPr>
          <w:rFonts w:ascii="Calibri" w:hAnsi="Calibri"/>
          <w:sz w:val="21"/>
        </w:rPr>
        <w:t>Tier-2 sinks (capital importers / floating beta): Türkiye, Egypt, and broader North African perimeters. These cases may show persistent external-financing needs and administered or regulated FX transmission, but captured-flow ratios require jurisdiction-specific documentation. PPP comparisons and valuation claims must declare series, base, date, and real/nominal treatment.</w:t>
      </w:r>
    </w:p>
    <w:p>
      <w:pPr>
        <w:pStyle w:val="FXBody"/>
        <w:keepLines w:val="0"/>
        <w:widowControl/>
        <w:numPr>
          <w:ilvl w:val="0"/>
          <w:numId w:val="2"/>
        </w:numPr>
        <w:spacing w:after="100" w:line="252" w:lineRule="auto"/>
        <w:jc w:val="both"/>
      </w:pPr>
      <w:r>
        <w:rPr>
          <w:rFonts w:ascii="Calibri" w:hAnsi="Calibri"/>
          <w:b/>
          <w:bCs/>
          <w:sz w:val="21"/>
        </w:rPr>
        <w:t>Tier-1 pools: GCC exporters and other relevant capital providers, with their own sovereign, banking and fund perimeters. The previous unsupported Tier-2 capture band of 0.80-0.90 is removed from operative text; my 11-times hypothesis is separately preserved without conversion into a measured flow fraction.</w:t>
      </w:r>
    </w:p>
    <w:p>
      <w:pPr>
        <w:pStyle w:val="FXHeading2"/>
        <w:keepNext/>
        <w:keepLines w:val="0"/>
        <w:widowControl/>
      </w:pPr>
      <w:r>
        <w:rPr>
          <w:color w:val="000000"/>
        </w:rPr>
        <w:t xml:space="preserve">10.2 The Optimum Devaluation Stage</w:t>
      </w:r>
    </w:p>
    <w:p>
      <w:pPr>
        <w:pStyle w:val="FXBody"/>
        <w:keepLines w:val="0"/>
        <w:widowControl/>
        <w:spacing w:after="160" w:line="252" w:lineRule="auto"/>
        <w:jc w:val="both"/>
      </w:pPr>
      <w:r>
        <w:rPr>
          <w:rFonts w:ascii="Calibri" w:hAnsi="Calibri"/>
          <w:b w:val="false"/>
          <w:bCs w:val="false"/>
          <w:i w:val="false"/>
          <w:iCs w:val="false"/>
          <w:sz w:val="21"/>
        </w:rPr>
        <w:t>A large G7 easing cycle can change relative yield incentives. It cannot programmatically force money into Tier-2 assets. Hedging, expected depreciation, credit, duration, liquidity, mandates and political constraints can offset the gross spread. Keep the regional-rotation hypothesis and inherited policy landmarks. Quantification waits for those channels and realized flows.</w:t>
      </w:r>
    </w:p>
    <w:p>
      <w:pPr>
        <w:pStyle w:val="FXHeading2"/>
        <w:keepNext/>
        <w:keepLines w:val="0"/>
        <w:widowControl/>
      </w:pPr>
      <w:r>
        <w:rPr>
          <w:rFonts w:ascii="Aptos" w:hAnsi="Aptos"/>
          <w:b w:val="0"/>
          <w:i w:val="0"/>
          <w:color w:val="000000"/>
          <w:sz w:val="21"/>
        </w:rPr>
        <w:t>10.3 Structural Recycling &amp; Sterilisation</w:t>
      </w:r>
    </w:p>
    <w:p>
      <w:pPr>
        <w:pStyle w:val="FXBody"/>
        <w:keepLines w:val="0"/>
        <w:widowControl/>
        <w:spacing w:line="252" w:lineRule="auto"/>
      </w:pPr>
      <w:r>
        <w:rPr>
          <w:rFonts w:ascii="Calibri" w:hAnsi="Calibri"/>
          <w:sz w:val="21"/>
        </w:rPr>
        <w:t>Sterilization can redirect liquidity and postpone price transmission. The balance-sheet, fiscal, banking and market-capacity costs belong in §6.2A. A regional yield-arbitrage expression cannot replace the Treasury, central-bank, banking, maturity and flow ledgers underneath it.</w:t>
      </w:r>
    </w:p>
    <w:p>
      <w:pPr>
        <w:pStyle w:val="FXBody"/>
        <w:keepLines w:val="0"/>
        <w:widowControl/>
        <w:spacing w:after="160" w:line="252" w:lineRule="auto"/>
        <w:jc w:val="both"/>
      </w:pPr>
      <w:r>
        <w:rPr>
          <w:rFonts w:ascii="Calibri" w:hAnsi="Calibri"/>
          <w:b w:val="false"/>
          <w:bCs w:val="false"/>
          <w:i w:val="false"/>
          <w:iCs w:val="false"/>
          <w:sz w:val="21"/>
        </w:rPr>
        <w:t>Cross-border investment may change reserves, deposits and domestic liquidity; recipient, conversion and sterilization determine how. It does not automatically offset money creation in the exporter or deepen a universal shadow multiple in the importer. Record both transaction sides and the financing.</w:t>
      </w:r>
    </w:p>
    <w:p>
      <w:pPr>
        <w:pStyle w:val="FXHeading2"/>
        <w:keepNext/>
        <w:keepLines w:val="0"/>
        <w:widowControl/>
      </w:pPr>
      <w:r>
        <w:rPr>
          <w:color w:val="000000"/>
        </w:rPr>
        <w:t xml:space="preserve">10.4 MEA Falsification Perimeters &amp; Live Read</w:t>
      </w:r>
    </w:p>
    <w:p>
      <w:pPr>
        <w:pStyle w:val="FXBody"/>
        <w:keepLines w:val="0"/>
        <w:widowControl/>
        <w:numPr>
          <w:ilvl w:val="0"/>
          <w:numId w:val="2"/>
        </w:numPr>
        <w:spacing w:after="100" w:line="252" w:lineRule="auto"/>
        <w:jc w:val="both"/>
      </w:pPr>
      <w:r>
        <w:rPr>
          <w:rFonts w:ascii="Calibri" w:hAnsi="Calibri"/>
          <w:b/>
          <w:bCs/>
          <w:sz w:val="21"/>
        </w:rPr>
        <w:t xml:space="preserve">Corridor decoupling:</w:t>
      </w:r>
      <w:r>
        <w:rPr>
          <w:rFonts w:ascii="Calibri" w:hAnsi="Calibri"/>
          <w:sz w:val="21"/>
        </w:rPr>
        <w:t xml:space="preserve"> GCC→Mediterranean/North African flows decline &gt;25% (rolling 90d) while G7 yields normalise → capital prefers G7 debt; Ω substitution thesis collapses. Status: cannot yet be evaluated on the current window; war-risk insurance and rerouting are raising μcap(kinetic) across the whole surface. Flagged for the September review.</w:t>
      </w:r>
    </w:p>
    <w:p>
      <w:pPr>
        <w:pStyle w:val="FXBody"/>
        <w:keepLines w:val="0"/>
        <w:widowControl/>
        <w:numPr>
          <w:ilvl w:val="0"/>
          <w:numId w:val="2"/>
        </w:numPr>
        <w:spacing w:after="100" w:line="252" w:lineRule="auto"/>
        <w:jc w:val="both"/>
      </w:pPr>
      <w:r>
        <w:rPr>
          <w:rFonts w:ascii="Calibri" w:hAnsi="Calibri"/>
          <w:b/>
          <w:bCs/>
          <w:sz w:val="21"/>
        </w:rPr>
        <w:t xml:space="preserve">Uncontrolled spread widening:</w:t>
      </w:r>
      <w:r>
        <w:rPr>
          <w:rFonts w:ascii="Calibri" w:hAnsi="Calibri"/>
          <w:sz w:val="21"/>
        </w:rPr>
        <w:t xml:space="preserve"> Tier-2 CDS &gt;450 bp while cross-border capital continues to flow → arbitrage vector disproven, deployment political rather than systemic. Status: distant (Türkiye 236–264); the binding live issue is the lower 250 investability gate (§5).</w:t>
      </w:r>
    </w:p>
    <w:p>
      <w:pPr>
        <w:pStyle w:val="FXBody"/>
        <w:keepLines w:val="0"/>
        <w:widowControl/>
        <w:numPr>
          <w:ilvl w:val="0"/>
          <w:numId w:val="2"/>
        </w:numPr>
        <w:spacing w:after="100" w:line="252" w:lineRule="auto"/>
        <w:jc w:val="both"/>
      </w:pPr>
      <w:r>
        <w:rPr>
          <w:rFonts w:ascii="Calibri" w:hAnsi="Calibri"/>
          <w:b/>
          <w:bCs/>
          <w:sz w:val="21"/>
        </w:rPr>
        <w:t xml:space="preserve">Tier-2 anchor signals:</w:t>
      </w:r>
      <w:r>
        <w:rPr>
          <w:rFonts w:ascii="Calibri" w:hAnsi="Calibri"/>
          <w:sz w:val="21"/>
        </w:rPr>
        <w:t xml:space="preserve"> USD/TRY 46.1 in controlled ~17% y/y crawl; reported international re-engagement with local bonds following a decisive opposition election result; CBRT gross FX reserves reported at $54.2 bn (22 May) with public discussion of deploying part of the gold stock for lira stabilisation — a sovereign treating gold as operative stabilisation collateral is the micro expression of the framework's macro claim.</w:t>
      </w:r>
    </w:p>
    <w:p>
      <w:pPr>
        <w:pStyle w:val="FXHeading1"/>
        <w:keepNext/>
        <w:keepLines w:val="0"/>
        <w:widowControl/>
      </w:pPr>
      <w:r>
        <w:rPr>
          <w:rFonts w:ascii="Aptos" w:hAnsi="Aptos"/>
          <w:color w:val="000000"/>
        </w:rPr>
        <w:t>11. Scenario Map: Orderly, Messy, and Unresolved</w:t>
      </w:r>
    </w:p>
    <w:p>
      <w:pPr>
        <w:pStyle w:val="FXBody"/>
        <w:keepLines w:val="0"/>
        <w:widowControl/>
        <w:spacing w:after="160" w:line="252" w:lineRule="auto"/>
        <w:jc w:val="both"/>
      </w:pPr>
      <w:r>
        <w:rPr>
          <w:rFonts w:ascii="Calibri" w:hAnsi="Calibri"/>
          <w:b w:val="0"/>
          <w:i w:val="0"/>
          <w:sz w:val="21"/>
        </w:rPr>
        <w:t>Milo was never the leftover probability in a 60%/30% route split. Those old labels were not empirically calibrated probabilities and are retired. The v9.0 ancestry correction preserves Milo as its own invariant 10% allowance for something outside the model's represented categories.</w:t>
      </w:r>
    </w:p>
    <w:p>
      <w:pPr>
        <w:pStyle w:val="FXHeading2"/>
        <w:keepNext/>
        <w:keepLines w:val="0"/>
        <w:widowControl/>
      </w:pPr>
      <w:r>
        <w:rPr>
          <w:rFonts w:ascii="Aptos" w:hAnsi="Aptos"/>
          <w:b w:val="0"/>
          <w:i w:val="0"/>
          <w:color w:val="000000"/>
          <w:sz w:val="21"/>
        </w:rPr>
        <w:t>11.1 Path Layer</w:t>
      </w:r>
    </w:p>
    <w:p>
      <w:pPr>
        <w:pStyle w:val="FXBody"/>
        <w:keepLines w:val="0"/>
        <w:widowControl/>
        <w:spacing w:line="252" w:lineRule="auto"/>
      </w:pPr>
      <w:r>
        <w:rPr>
          <w:rFonts w:ascii="Calibri" w:hAnsi="Calibri"/>
          <w:b w:val="0"/>
          <w:i w:val="0"/>
          <w:sz w:val="21"/>
        </w:rPr>
        <w:t>There are three routes. Orderly needs thesis-specific attribution, USD-side resolution first and contained transmission. Messy also needs thesis-specific attribution, but containment fails first or transmission becomes disorderly. Unresolved / No Release applies when thresholds move or even break while attribution is Shared, Contradictory or incomplete, or the fiscal ledger cannot constrain transmission. These are route classifications, not probabilities.</w:t>
      </w:r>
    </w:p>
    <w:p>
      <w:pPr>
        <w:pStyle w:val="FXBody"/>
        <w:keepLines w:val="0"/>
        <w:widowControl/>
        <w:numPr>
          <w:ilvl w:val="0"/>
          <w:numId w:val="2"/>
        </w:numPr>
        <w:spacing w:after="100" w:line="252" w:lineRule="auto"/>
        <w:jc w:val="both"/>
      </w:pPr>
      <w:r>
        <w:rPr>
          <w:rFonts w:ascii="Calibri" w:hAnsi="Calibri"/>
          <w:b/>
          <w:bCs/>
          <w:sz w:val="21"/>
        </w:rPr>
        <w:t>Orderly route: USD-side confirmation leads; corridor release lags; controlled decompression and lower settlement risk.</w:t>
      </w:r>
      <w:r>
        <w:rPr>
          <w:rFonts w:ascii="Calibri" w:hAnsi="Calibri"/>
          <w:sz w:val="21"/>
        </w:rPr>
      </w:r>
    </w:p>
    <w:p>
      <w:pPr>
        <w:pStyle w:val="FXBody"/>
        <w:keepLines w:val="0"/>
        <w:widowControl/>
        <w:numPr>
          <w:ilvl w:val="0"/>
          <w:numId w:val="2"/>
        </w:numPr>
        <w:spacing w:after="100" w:line="252" w:lineRule="auto"/>
        <w:jc w:val="both"/>
      </w:pPr>
      <w:r>
        <w:rPr>
          <w:rFonts w:ascii="Calibri" w:hAnsi="Calibri"/>
          <w:b/>
          <w:bCs/>
          <w:sz w:val="21"/>
        </w:rPr>
        <w:t>Messy route: corridor containment breaks before USD-side confirmation; circuit-breaker, liquidity, and settlement risks dominate.</w:t>
      </w:r>
      <w:r>
        <w:rPr>
          <w:rFonts w:ascii="Calibri" w:hAnsi="Calibri"/>
          <w:sz w:val="21"/>
        </w:rPr>
      </w:r>
    </w:p>
    <w:p>
      <w:pPr>
        <w:pStyle w:val="FXBody"/>
        <w:keepLines w:val="0"/>
        <w:widowControl/>
        <w:spacing w:line="252" w:lineRule="auto"/>
      </w:pPr>
      <w:r>
        <w:rPr>
          <w:rFonts w:ascii="Calibri" w:hAnsi="Calibri"/>
          <w:sz w:val="21"/>
        </w:rPr>
        <w:t>Unresolved / No Release route: primary gates remain inactive, contested, or nonpersistent through the review horizon; no anchor inference or post-reset profit simulation is authorized, and capital remains staged or at zero exposure under §15.</w:t>
      </w:r>
    </w:p>
    <w:p>
      <w:pPr>
        <w:pStyle w:val="FXHeading2"/>
        <w:keepNext/>
        <w:keepLines w:val="0"/>
        <w:widowControl/>
      </w:pPr>
      <w:r>
        <w:rPr>
          <w:rFonts w:ascii="Aptos" w:hAnsi="Aptos"/>
          <w:b w:val="0"/>
          <w:i w:val="0"/>
          <w:color w:val="000000"/>
          <w:sz w:val="21"/>
        </w:rPr>
        <w:t>11.2 Chaos Absorption</w:t>
      </w:r>
    </w:p>
    <w:p>
      <w:pPr>
        <w:pStyle w:val="FXBody"/>
        <w:keepLines w:val="0"/>
        <w:widowControl/>
        <w:spacing w:line="252" w:lineRule="auto"/>
      </w:pPr>
      <w:r>
        <w:rPr>
          <w:rFonts w:ascii="Calibri" w:hAnsi="Calibri"/>
          <w:sz w:val="21"/>
        </w:rPr>
        <w:t>Chaos absorption sends shocks through the existing gates and ledger. A shock earns evidential weight through a verified print, operational fact, balance sheet, flow, maturity, policy action or market-capacity condition. Randomness does not excuse the framework. Missing transmission stays missing.</w:t>
      </w:r>
    </w:p>
    <w:p>
      <w:pPr>
        <w:pStyle w:val="FXBody"/>
        <w:keepLines w:val="0"/>
        <w:widowControl/>
        <w:spacing w:after="160" w:line="252" w:lineRule="auto"/>
        <w:jc w:val="both"/>
      </w:pPr>
      <w:r>
        <w:rPr>
          <w:rFonts w:ascii="Calibri" w:hAnsi="Calibri"/>
          <w:b w:val="0"/>
          <w:i w:val="0"/>
          <w:sz w:val="21"/>
        </w:rPr>
        <w:t>Known shock classes are classified by the gate system, while Milo remains reserved for a genuinely unmodelled class that the current taxonomy cannot yet represent.</w:t>
      </w:r>
    </w:p>
    <w:p>
      <w:pPr>
        <w:pStyle w:val="FXHeading2"/>
        <w:keepNext/>
        <w:keepLines w:val="0"/>
        <w:widowControl/>
      </w:pPr>
      <w:r>
        <w:rPr>
          <w:rFonts w:ascii="Aptos" w:hAnsi="Aptos"/>
          <w:color w:val="000000"/>
        </w:rPr>
        <w:t>11.3 Golden Dose — Extreme Messy-Route Review Gate</w:t>
      </w:r>
    </w:p>
    <w:p>
      <w:pPr>
        <w:pStyle w:val="FXBody"/>
        <w:keepLines w:val="0"/>
        <w:widowControl/>
        <w:spacing w:after="160" w:line="252" w:lineRule="auto"/>
        <w:jc w:val="both"/>
      </w:pPr>
      <w:r>
        <w:rPr>
          <w:rFonts w:ascii="Calibri" w:hAnsi="Calibri"/>
          <w:b w:val="0"/>
          <w:i w:val="0"/>
          <w:sz w:val="21"/>
        </w:rPr>
        <w:t>Golden Dose opens the stress review when the four extreme conditions in §2.3A line up. Raw stress cannot confirm Camp Inversion. Attribution review comes before raising the Messy route's rank. Then test whether reserves, swaps, external maturities, deposits, sterilization, banks, flows and market capacity can absorb it. The review does not determine a destination.</w:t>
      </w:r>
    </w:p>
    <w:p>
      <w:pPr>
        <w:pStyle w:val="FXHeading1"/>
        <w:keepNext/>
        <w:keepLines w:val="0"/>
        <w:widowControl/>
      </w:pPr>
      <w:r>
        <w:rPr>
          <w:color w:val="000000"/>
        </w:rPr>
        <w:t>12. Activation, Deactivation &amp; Falsification (v8.3 reconciled)</w:t>
      </w:r>
    </w:p>
    <w:p>
      <w:pPr>
        <w:pStyle w:val="FXHeading2"/>
        <w:keepNext/>
        <w:keepLines w:val="0"/>
        <w:widowControl/>
      </w:pPr>
      <w:r>
        <w:rPr>
          <w:color w:val="000000"/>
        </w:rPr>
        <w:t xml:space="preserve">12.1 Policy-Direction Gate (formerly Warsh Confirmation Lock)</w:t>
      </w:r>
    </w:p>
    <w:p>
      <w:pPr>
        <w:pStyle w:val="FXBody"/>
        <w:keepLines w:val="0"/>
        <w:widowControl/>
        <w:spacing w:after="160" w:line="252" w:lineRule="auto"/>
        <w:jc w:val="both"/>
      </w:pPr>
      <w:r>
        <w:rPr>
          <w:rFonts w:ascii="Calibri" w:hAnsi="Calibri"/>
          <w:b/>
          <w:bCs/>
          <w:sz w:val="21"/>
        </w:rPr>
        <w:t>This gate was never meant to make one person the hidden master variable. The old Warsh name encouraged that misreading, so the gate is renamed for what it measures: G7 policy-rate direction revealed by the first FOMC cycle under new leadership, through the decision and SEP. That cycle was 16–17 June 2026. Senate confirmation on 13 May and swearing-in on 22 May completed institutional preconditions. The gate fires on the policy print. The earlier “terminal closure” claim at confirmation is corrected: closure belongs to the June print under the pre-committed §12.6 tree.</w:t>
      </w:r>
      <w:r>
        <w:rPr>
          <w:rFonts w:ascii="Calibri" w:hAnsi="Calibri"/>
          <w:sz w:val="21"/>
        </w:rPr>
      </w:r>
    </w:p>
    <w:p>
      <w:pPr>
        <w:pStyle w:val="FXBody"/>
        <w:keepLines w:val="0"/>
        <w:widowControl/>
        <w:spacing w:after="160" w:line="252" w:lineRule="auto"/>
        <w:jc w:val="both"/>
      </w:pPr>
      <w:r>
        <w:rPr>
          <w:rFonts w:ascii="Calibri" w:hAnsi="Calibri"/>
          <w:b w:val="false"/>
          <w:bCs w:val="false"/>
          <w:i w:val="false"/>
          <w:iCs w:val="false"/>
          <w:sz w:val="21"/>
        </w:rPr>
        <w:t>Keep 4–10 and 340–460+ TRY per USD as scenario landmarks under different USD numéraires. They are not point forecasts. If we claim ordinary arbitrage must force either one, we owe independent evidence about flows and market capacity.</w:t>
      </w:r>
    </w:p>
    <w:p>
      <w:pPr>
        <w:pStyle w:val="FXHeading2"/>
        <w:keepNext/>
        <w:keepLines w:val="0"/>
        <w:widowControl/>
      </w:pPr>
      <w:r>
        <w:rPr>
          <w:color w:val="000000"/>
        </w:rPr>
        <w:t xml:space="preserve">12.2 The Three Macro Boundaries (rebased)</w:t>
      </w:r>
    </w:p>
    <w:p>
      <w:pPr>
        <w:pStyle w:val="FXBody"/>
        <w:keepLines w:val="0"/>
        <w:widowControl/>
        <w:numPr>
          <w:ilvl w:val="0"/>
          <w:numId w:val="2"/>
        </w:numPr>
        <w:spacing w:after="100" w:line="252" w:lineRule="auto"/>
        <w:jc w:val="both"/>
      </w:pPr>
      <w:r>
        <w:rPr>
          <w:rFonts w:ascii="Calibri" w:hAnsi="Calibri"/>
          <w:b/>
          <w:bCs/>
          <w:sz w:val="21"/>
        </w:rPr>
        <w:t>DXY activation baseline: sustained strictly below 100. Current: approximately 100 and therefore boundary/indeterminate. Thesis-row falsification candidate: &gt;103 sustained for 4+ weeks.</w:t>
      </w:r>
      <w:r>
        <w:rPr>
          <w:rFonts w:ascii="Calibri" w:hAnsi="Calibri"/>
          <w:sz w:val="21"/>
        </w:rPr>
      </w:r>
    </w:p>
    <w:p>
      <w:pPr>
        <w:pStyle w:val="FXBody"/>
        <w:keepLines w:val="0"/>
        <w:widowControl/>
        <w:numPr>
          <w:ilvl w:val="0"/>
          <w:numId w:val="2"/>
        </w:numPr>
        <w:spacing w:after="100" w:line="252" w:lineRule="auto"/>
        <w:jc w:val="both"/>
      </w:pPr>
      <w:r>
        <w:rPr>
          <w:rFonts w:ascii="Calibri" w:hAnsi="Calibri"/>
          <w:b/>
          <w:bCs/>
          <w:sz w:val="21"/>
        </w:rPr>
        <w:t>Gold activation baseline: &gt;$4,200 on a declared four-week rolling-median series. Current spot/CFD and COMEX observations are below gate. Structural-abandonment candidate: &lt;$3,800 on the same canonical series for 4 consecutive weeks.</w:t>
      </w:r>
      <w:r>
        <w:rPr>
          <w:rFonts w:ascii="Calibri" w:hAnsi="Calibri"/>
          <w:sz w:val="21"/>
        </w:rPr>
      </w:r>
    </w:p>
    <w:p>
      <w:pPr>
        <w:pStyle w:val="FXBody"/>
        <w:keepLines w:val="0"/>
        <w:widowControl/>
        <w:numPr>
          <w:ilvl w:val="0"/>
          <w:numId w:val="2"/>
        </w:numPr>
        <w:spacing w:after="100" w:line="252" w:lineRule="auto"/>
        <w:jc w:val="both"/>
      </w:pPr>
      <w:r>
        <w:rPr>
          <w:rFonts w:ascii="Calibri" w:hAnsi="Calibri"/>
          <w:b/>
          <w:bCs/>
          <w:sz w:val="21"/>
        </w:rPr>
        <w:t>Sovereignty Corridor: the crawl remains orderly near 47.55 on 4 August. The old ~44–48 June band must not be carried forward visually; its centre must roll mechanically from the declared trailing-crawl rule. A &gt;15% one-day move remains the inherited panic landmark pending published calibration.</w:t>
      </w:r>
      <w:r>
        <w:rPr>
          <w:rFonts w:ascii="Calibri" w:hAnsi="Calibri"/>
          <w:sz w:val="21"/>
        </w:rPr>
      </w:r>
    </w:p>
    <w:p>
      <w:pPr>
        <w:pStyle w:val="FXHeading2"/>
        <w:keepNext/>
        <w:keepLines w:val="0"/>
        <w:widowControl/>
      </w:pPr>
      <w:r>
        <w:rPr>
          <w:color w:val="000000"/>
        </w:rPr>
        <w:t>12.3 Boolean Discipline: Activation Is AND; Falsification Is Classified</w:t>
      </w:r>
    </w:p>
    <w:p>
      <w:pPr>
        <w:pStyle w:val="FXBody"/>
        <w:keepLines w:val="0"/>
        <w:widowControl/>
        <w:spacing w:after="160" w:line="252" w:lineRule="auto"/>
        <w:jc w:val="both"/>
      </w:pPr>
      <w:r>
        <w:rPr>
          <w:rFonts w:ascii="Calibri" w:hAnsi="Calibri"/>
          <w:b w:val="false"/>
          <w:bCs w:val="false"/>
          <w:i w:val="false"/>
          <w:iCs w:val="false"/>
          <w:sz w:val="21"/>
        </w:rPr>
        <w:t>Activation is AND: DXY active, gold active, TRY CDS active and corridor orderly, all at once under their own persistence rules. Lose one leg and the engine deactivates or waits; the thesis is not automatically falsified. Falsification needs a sustained thesis-class contradiction from §12.5 plus independent corroboration from a second thesis-class signal or the temporal-decay rule. Administration failure moves the route to Messy and forces resize/review; by itself it does not kill the USD-side proposition. This replaces both old shortcuts: “all boundaries must shatter” and “any single row exits.”</w:t>
      </w:r>
    </w:p>
    <w:p>
      <w:pPr>
        <w:pStyle w:val="FXHeading2"/>
        <w:keepNext/>
        <w:keepLines w:val="0"/>
        <w:widowControl/>
      </w:pPr>
      <w:r>
        <w:rPr>
          <w:rFonts w:ascii="Aptos" w:hAnsi="Aptos"/>
          <w:color w:val="000000"/>
        </w:rPr>
        <w:t>12.4 Legacy Nonlinear-Release Hypothesis — Scope &amp; Epistemic Status</w:t>
      </w:r>
    </w:p>
    <w:p>
      <w:pPr>
        <w:pStyle w:val="FXBody"/>
        <w:keepLines w:val="0"/>
        <w:widowControl/>
        <w:spacing w:after="160" w:line="252" w:lineRule="auto"/>
        <w:jc w:val="both"/>
      </w:pPr>
      <w:r>
        <w:rPr>
          <w:rFonts w:ascii="Calibri" w:hAnsi="Calibri"/>
          <w:sz w:val="21"/>
        </w:rPr>
        <w:t>ΔFX ∝ m² is retired as a quantitative law. Keep only the warning it was trying to express: release may accelerate nonlinearly when policy capacity, balance sheets, flows and market depth deteriorate together. v8.5 supplies no estimated exponent, coefficient, time scale or calibrated m_release. The expression therefore cannot price 4–10, 340–460+, gold near $9,826, BIST outcomes or a Golden Dose overshoot.</w:t>
      </w:r>
    </w:p>
    <w:p>
      <w:pPr>
        <w:pStyle w:val="FXHeading2"/>
        <w:keepNext/>
        <w:keepLines w:val="0"/>
        <w:widowControl/>
      </w:pPr>
      <w:r>
        <w:rPr>
          <w:color w:val="000000"/>
        </w:rPr>
        <w:t>12.5 Unified Falsification Ledger — 4 August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700"/>
        <w:gridCol w:w="2100"/>
        <w:gridCol w:w="2100"/>
        <w:gridCol w:w="3126"/>
      </w:tblGrid>
      <w:tr>
        <w:trPr>
          <w:tblHeader/>
          <w:tblHeade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Condition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4 Aug 2026 evidence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Framework test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State</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DXY thesis row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~100 boundary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&gt;103 for 4+ weeks plus independent thesis corroboration</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CONTESTED</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Gold thesis row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~$4.06–4.12k spot/CFD; COMEX $4,033.70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&lt;$3,800 for 4 weeks on canonical series plus corroboration</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ADVERSE; NOT FALSIFIED</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Corridor administration row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USD/TRY ~47.55; orderly crawl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&gt;15% one-day move or calibrated panic acceleration</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HOLDS</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TRY CDS administration row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~237.2 bp delayed point print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&gt;300 bp for 2 weeks</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POINT FAVORABLE; MEDIAN UNKNOWN</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Japan auxiliary row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10y JGB ~2.84–2.86%; latest intervention size pending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Verified net UST re-accumulation plus BOJ reversal</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CONFIRMING AUXILIARY; ASSET-SALE CLAIM UNVERIFIED</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China auxiliary row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PBOC gold buying active 20 months through June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&gt;$30bn net UST purchases over 3 months</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CONFIRMING THROUGH JUNE</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Policy rail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Fed held 3.50–3.75%; three hike dissents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+100 bp realized/12m with DXY ≥100 and gold below prior high</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EXPECTATION-ADVERSE; REALIZED γcap DORMANT</w:t>
            </w:r>
          </w:p>
        </w:tc>
      </w:tr>
    </w:tbl>
    <w:p>
      <w:pPr>
        <w:pStyle w:val="FXBody"/>
        <w:keepLines w:val="0"/>
        <w:widowControl/>
        <w:spacing w:after="160" w:line="252" w:lineRule="auto"/>
        <w:jc w:val="both"/>
      </w:pPr>
      <w:r>
        <w:rPr>
          <w:rFonts w:ascii="Calibri" w:hAnsi="Calibri"/>
          <w:b/>
          <w:bCs/>
          <w:sz w:val="21"/>
        </w:rPr>
        <w:t>Keep the two classes separate. A sustained thesis-class contradiction needs §12.3 corroboration; administration failure changes the route assessment. One unconfirmed point can set off C7 or force review. A gate changes only under its own measurement and persistence rule. A raw print does not impersonate a rolling median.</w:t>
      </w:r>
    </w:p>
    <w:p>
      <w:pPr>
        <w:pStyle w:val="FXHeading2"/>
        <w:keepNext/>
        <w:keepLines w:val="0"/>
        <w:widowControl/>
      </w:pPr>
      <w:r>
        <w:rPr>
          <w:color w:val="000000"/>
        </w:rPr>
        <w:t xml:space="preserve">12.5A Temporal Decay Boundary (new in v8.1.6)</w:t>
      </w:r>
    </w:p>
    <w:p>
      <w:pPr>
        <w:pStyle w:val="FXBody"/>
        <w:keepLines w:val="0"/>
        <w:widowControl/>
        <w:spacing w:after="160" w:line="252" w:lineRule="auto"/>
        <w:jc w:val="both"/>
      </w:pPr>
      <w:r>
        <w:rPr>
          <w:rFonts w:ascii="Calibri" w:hAnsi="Calibri"/>
          <w:b/>
          <w:bCs/>
          <w:sz w:val="21"/>
        </w:rPr>
        <w:t>Temporal decay is a separate operational suspension rule. Activation still uses the four-way AND; falsification still uses §12.3 classification and corroboration. Active or contested administration legs can keep the decay count high, so this is not a guaranteed expiry date for the USD thesis. We are not silently adding a deadline.</w:t>
      </w:r>
    </w:p>
    <w:p>
      <w:pPr>
        <w:pStyle w:val="FXBody"/>
        <w:keepLines w:val="0"/>
        <w:widowControl/>
        <w:spacing w:after="160" w:line="252" w:lineRule="auto"/>
        <w:jc w:val="both"/>
      </w:pPr>
      <w:r>
        <w:rPr>
          <w:rFonts w:ascii="Calibri" w:hAnsi="Calibri"/>
          <w:sz w:val="21"/>
        </w:rPr>
        <w:t>If fewer than 2 of 4 primary triggers (DXY, gold proxy, TRY CDS, corridor) are in active or contested status for 6 consecutive months, the framework enters Suspended Animation: positions sized to zero conviction, thesis placed under formal review. Reactivation requires 2 or more triggers returning to active or contested status for 2 consecutive measurement cycles. This boundary limits deployment under its stated count condition and is independent of the falsification thresholds in §12.3 and §12.5 — it does not falsify the thesis; it suspends operational deployment until the trigger configuration recovers.</w:t>
      </w:r>
    </w:p>
    <w:p>
      <w:pPr>
        <w:pStyle w:val="FXBody"/>
        <w:keepLines w:val="0"/>
        <w:widowControl/>
        <w:spacing w:after="160" w:line="252" w:lineRule="auto"/>
        <w:jc w:val="both"/>
      </w:pPr>
      <w:r>
        <w:rPr>
          <w:rFonts w:ascii="Calibri" w:hAnsi="Calibri"/>
          <w:sz w:val="21"/>
        </w:rPr>
        <w:t>Current status (4 August 2026): corridor is active/orderly; CDS is favorable only on a point print; DXY is boundary/indeterminate; gold is below gate. The six-month counter must be maintained cycle by cycle from auditable series rather than inferred retrospectively. No Suspended Animation verdict is declared in this edition.</w:t>
      </w:r>
    </w:p>
    <w:p>
      <w:pPr>
        <w:pStyle w:val="FXHeading2"/>
        <w:keepNext/>
        <w:keepLines w:val="0"/>
        <w:widowControl/>
      </w:pPr>
      <w:r>
        <w:rPr>
          <w:rFonts w:ascii="Aptos" w:hAnsi="Aptos"/>
          <w:b w:val="0"/>
          <w:i w:val="0"/>
          <w:color w:val="000000"/>
          <w:sz w:val="21"/>
        </w:rPr>
        <w:t>12.5C Frozen Prediction-and-Error Register (new in v8.6)</w:t>
      </w:r>
    </w:p>
    <w:p>
      <w:pPr>
        <w:pStyle w:val="FXBody"/>
        <w:keepLines w:val="0"/>
        <w:widowControl/>
        <w:spacing w:line="252" w:lineRule="auto"/>
      </w:pPr>
      <w:r>
        <w:rPr>
          <w:rFonts w:ascii="Calibri" w:hAnsi="Calibri"/>
          <w:b w:val="0"/>
          <w:i w:val="0"/>
          <w:sz w:val="21"/>
        </w:rPr>
        <w:t>Before the market interval starts, both camps leave their prediction with the Sentinel: expected observable, time window, disconfirming result and permitted route implication. At the close, score Confirmed, Weakened, Falsified or Unresolved. An amendment gets a new prospective vintage. The old score stays visible.</w:t>
      </w:r>
    </w:p>
    <w:p>
      <w:pPr>
        <w:pStyle w:val="FXBody"/>
        <w:keepLines w:val="0"/>
        <w:widowControl/>
        <w:spacing w:line="252" w:lineRule="auto"/>
      </w:pPr>
      <w:r>
        <w:rPr>
          <w:rFonts w:ascii="Calibri" w:hAnsi="Calibri"/>
          <w:b w:val="0"/>
          <w:i w:val="0"/>
          <w:sz w:val="21"/>
        </w:rPr>
        <w:t>A falsifier has to be allowed to kill something. If we called evidence fatal beforehand, we cannot relabel it delay, deeper containment or hidden confirmation afterward without recording the failure. Extensions, definition changes and rescue clauses all carry complexity costs. No Bayesian percentages until we have a stable sample and scoring method.</w:t>
      </w:r>
    </w:p>
    <w:p>
      <w:pPr>
        <w:pStyle w:val="FXHeading2"/>
        <w:keepNext/>
        <w:keepLines w:val="0"/>
        <w:widowControl/>
      </w:pPr>
      <w:r>
        <w:rPr>
          <w:color w:val="000000"/>
        </w:rPr>
        <w:t>12.6 June–July 2026 Historical Policy Test and Result</w:t>
      </w:r>
    </w:p>
    <w:p>
      <w:pPr>
        <w:pStyle w:val="FXHeading2"/>
        <w:keepNext/>
        <w:keepLines w:val="0"/>
        <w:widowControl/>
      </w:pPr>
      <w:r>
        <w:rPr>
          <w:color w:val="000000"/>
        </w:rPr>
        <w:t>12.5B November 2026 Review Window (new in v8.3)</w:t>
      </w:r>
    </w:p>
    <w:p>
      <w:pPr>
        <w:pStyle w:val="FXBody"/>
        <w:keepLines w:val="0"/>
        <w:widowControl/>
        <w:spacing w:line="252" w:lineRule="auto"/>
      </w:pPr>
      <w:r>
        <w:rPr>
          <w:rFonts w:ascii="Calibri" w:hAnsi="Calibri"/>
          <w:sz w:val="21"/>
        </w:rPr>
        <w:t>November is the review window, not the devaluation date. Check whether August–October evidence has built persistence across DXY, gold, CDS, corridor, realized policy, PBOC, Japan and market structure. Publication date and measured period stay separate. A delayed monthly release is not live November evidence.</w:t>
      </w:r>
    </w:p>
    <w:p>
      <w:pPr>
        <w:pStyle w:val="FXBody"/>
        <w:keepLines w:val="0"/>
        <w:widowControl/>
        <w:spacing w:line="252" w:lineRule="auto"/>
      </w:pPr>
      <w:r>
        <w:rPr>
          <w:rFonts w:ascii="Calibri" w:hAnsi="Calibri"/>
          <w:sz w:val="21"/>
        </w:rPr>
        <w:t>The review can produce advance, unchanged, timing extension, route degradation, Suspended Animation or falsified. Those require, respectively, more confirmed gates in sequence; no gate/persistence change; expectations without realized action; administration breaking first; the temporal-decay condition; or the reconciled §12.3/§12.5 falsification rule. The calendar authorizes none of them by itself.</w:t>
      </w:r>
    </w:p>
    <w:p>
      <w:pPr>
        <w:pStyle w:val="FXBody"/>
        <w:keepLines w:val="0"/>
        <w:widowControl/>
        <w:spacing w:after="160" w:line="252" w:lineRule="auto"/>
        <w:jc w:val="both"/>
      </w:pPr>
      <w:r>
        <w:rPr>
          <w:rFonts w:ascii="Calibri" w:hAnsi="Calibri"/>
          <w:b w:val="false"/>
          <w:bCs w:val="false"/>
          <w:i w:val="false"/>
          <w:iCs w:val="false"/>
          <w:sz w:val="21"/>
        </w:rPr>
        <w:t>The historical result is holds in both June and July, not the easing-confirmation branch. On 29 July, three members dissented for hikes. Under the pre-committed tree, that means timing extension with a hawkish route warning: realized γcap stays dormant while expectations are adverse. Keep the table below as the original test specification. It is no longer a forward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tblHeade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June FOMC outcome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Operator consequence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Framework verdict (pre-committed)</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Cut, or strong easing signal in dots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γcap enters capitulation regime; Ω numerator accelerates; DXY &lt; 100 likely re-confirmed</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CONFIRMATION — policy-direction gate validated; thesis advances to active phase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Hold + shift from easing bias to neutral (consensus)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γcap dormant (≈1); no operator energy either direction</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TIMING EXTENSION — neither confirmation nor falsification; gate-state classification absorbs the delay; dashboard unchanged</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Hold + hawkish dots validating December-hike pricing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γcap suppression regime; +100 bp/12m rail counting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ADVERSE — capitulation channel on falsification watch; if DXY then sustains &gt;103, the core engine falsifies on schedule</w:t>
            </w:r>
          </w:p>
        </w:tc>
      </w:tr>
    </w:tbl>
    <w:p>
      <w:pPr>
        <w:pStyle w:val="FXBody"/>
        <w:keepLines w:val="0"/>
        <w:widowControl/>
        <w:spacing w:after="160" w:line="252" w:lineRule="auto"/>
        <w:jc w:val="both"/>
      </w:pPr>
      <w:r>
        <w:rPr>
          <w:rFonts w:ascii="Calibri" w:hAnsi="Calibri"/>
          <w:b/>
          <w:bCs/>
          <w:sz w:val="21"/>
        </w:rPr>
        <w:t>Chaos absorption (§2.3, §11.2) handles path shocks. It does not protect an endpoint from evidence. If hikes are delivered, gold stays below its January high and DXY ≥ 100 in a persistent hawkish regime, the world is voting against the premise. Calling that noise or transition would defeat the point of the pre-committed table and §9.4. The framework carries no mechanical stop-loss: §12 and §15.2 govern exit through falsification, maximum drawdown budget, liquidity and thesis invalidation. The discipline has to be written before the print.</w:t>
      </w:r>
      <w:r>
        <w:rPr>
          <w:rFonts w:ascii="Calibri" w:hAnsi="Calibri"/>
          <w:sz w:val="21"/>
        </w:rPr>
      </w:r>
    </w:p>
    <w:p>
      <w:pPr>
        <w:pStyle w:val="FXBody"/>
        <w:keepLines w:val="0"/>
        <w:widowControl/>
        <w:spacing w:after="160" w:line="252" w:lineRule="auto"/>
        <w:jc w:val="both"/>
      </w:pPr>
      <w:r>
        <w:rPr>
          <w:rFonts w:ascii="Calibri" w:hAnsi="Calibri"/>
          <w:b/>
          <w:bCs/>
          <w:sz w:val="21"/>
        </w:rPr>
        <w:t>Confirmation keeps the designed-exit branch under review. It does not derive 4–10. A corridor break before USD-side confirmation raises the Messy route's qualitative rank. It does not derive 340–460+. That is the v8.4 repair: sequence classifies route evidence; every legacy endpoint still needs independent derivation and calibration.</w:t>
      </w:r>
      <w:r>
        <w:rPr>
          <w:rFonts w:ascii="Calibri" w:hAnsi="Calibri"/>
          <w:sz w:val="21"/>
        </w:rPr>
      </w:r>
    </w:p>
    <w:p>
      <w:pPr>
        <w:pStyle w:val="FXBody"/>
        <w:keepLines w:val="0"/>
        <w:widowControl/>
        <w:spacing w:after="160" w:line="252" w:lineRule="auto"/>
        <w:jc w:val="both"/>
      </w:pPr>
      <w:r>
        <w:rPr>
          <w:rFonts w:ascii="Calibri" w:hAnsi="Calibri"/>
          <w:sz w:val="21"/>
        </w:rPr>
        <w:t>Keep the ECB negative-rate episode, 2014–2022, as a comparative case. Examine price displacement, policy intensity, bank margins, sovereign spreads, flows and transmission separately. v8.5 no longer treats a sub-unity legacy m-index or activated clip floor as proof the model works. Portability to TRY needs an explicit channel and compatible evidence. A retrospective fit cannot validate m_release.</w:t>
      </w:r>
    </w:p>
    <w:p>
      <w:pPr>
        <w:pStyle w:val="FXHeading2"/>
        <w:keepNext/>
        <w:keepLines w:val="0"/>
        <w:widowControl/>
      </w:pPr>
      <w:r>
        <w:rPr>
          <w:rFonts w:ascii="Aptos" w:hAnsi="Aptos"/>
          <w:b w:val="0"/>
          <w:i w:val="0"/>
          <w:color w:val="000000"/>
          <w:sz w:val="21"/>
        </w:rPr>
        <w:t>12.7 Historical Mechanism Tests (new in v8.6)</w:t>
      </w:r>
    </w:p>
    <w:p>
      <w:pPr>
        <w:pStyle w:val="FXBody"/>
        <w:keepLines w:val="0"/>
        <w:widowControl/>
        <w:spacing w:line="252" w:lineRule="auto"/>
      </w:pPr>
      <w:r>
        <w:rPr>
          <w:rFonts w:ascii="Calibri" w:hAnsi="Calibri"/>
          <w:b w:val="0"/>
          <w:i w:val="0"/>
          <w:sz w:val="21"/>
        </w:rPr>
        <w:t>Historical cases should test the mechanism we borrow, not resemble the endpoint we want. The register will examine Türkiye 2001, Argentina's currency regimes, selected Asian crisis transitions, Gulf peg defence and managed-float transitions. For each, name the channel—reserve loss, rollover pressure, deposit switching, exhausted sterilization, bank mismatch or market-capacity failure—and the differences that stop direct transfer.</w:t>
      </w:r>
    </w:p>
    <w:p>
      <w:pPr>
        <w:pStyle w:val="FXBody"/>
        <w:keepLines w:val="0"/>
        <w:widowControl/>
        <w:spacing w:line="252" w:lineRule="auto"/>
      </w:pPr>
      <w:r>
        <w:rPr>
          <w:rFonts w:ascii="Calibri" w:hAnsi="Calibri"/>
          <w:b w:val="0"/>
          <w:i w:val="0"/>
          <w:sz w:val="21"/>
        </w:rPr>
        <w:t>A historical case may strengthen or weaken a channel hypothesis. It cannot donate route probabilities, crisis returns or validation for 4–10, 340–460+, Buffett 240 or gold near $9,826.</w:t>
      </w:r>
    </w:p>
    <w:p>
      <w:pPr>
        <w:pStyle w:val="FXHeading2"/>
        <w:keepNext/>
        <w:keepLines w:val="0"/>
        <w:widowControl/>
      </w:pPr>
      <w:r>
        <w:rPr>
          <w:rFonts w:ascii="Aptos" w:hAnsi="Aptos"/>
          <w:b w:val="0"/>
          <w:i w:val="0"/>
          <w:color w:val="000000"/>
          <w:sz w:val="21"/>
        </w:rPr>
        <w:t>12.8 Genesis-Year Retrospective Audit and Hindsight Firewall (new in v9.0)</w:t>
      </w:r>
    </w:p>
    <w:p>
      <w:pPr>
        <w:pStyle w:val="FXBody"/>
        <w:keepLines w:val="0"/>
        <w:widowControl/>
        <w:spacing w:line="252" w:lineRule="auto"/>
      </w:pPr>
      <w:r>
        <w:rPr>
          <w:rFonts w:ascii="Calibri" w:hAnsi="Calibri"/>
          <w:b w:val="0"/>
          <w:i w:val="0"/>
          <w:sz w:val="21"/>
        </w:rPr>
        <w:t>Judge yesterday's claim by yesterday's words and evidence. Class it as Contemporaneous Prediction, Contemporaneous Interpretation or Retrospective Reconstruction. Forecast credit goes only to a prediction demonstrably recorded before its outcome.</w:t>
      </w:r>
    </w:p>
    <w:p>
      <w:pPr>
        <w:pStyle w:val="FXBody"/>
        <w:keepLines w:val="0"/>
        <w:widowControl/>
        <w:numPr>
          <w:ilvl w:val="0"/>
          <w:numId w:val="2"/>
        </w:numPr>
        <w:spacing w:after="100" w:line="252" w:lineRule="auto"/>
        <w:jc w:val="both"/>
      </w:pPr>
      <w:r>
        <w:rPr>
          <w:rFonts w:ascii="Calibri" w:hAnsi="Calibri"/>
          <w:b w:val="0"/>
          <w:i w:val="0"/>
          <w:sz w:val="21"/>
        </w:rPr>
        <w:t>Judge every vintage using only information public or demonstrably available by its cutoff.</w:t>
      </w:r>
    </w:p>
    <w:p>
      <w:pPr>
        <w:pStyle w:val="FXBody"/>
        <w:keepLines w:val="0"/>
        <w:widowControl/>
        <w:numPr>
          <w:ilvl w:val="0"/>
          <w:numId w:val="2"/>
        </w:numPr>
        <w:spacing w:after="100" w:line="252" w:lineRule="auto"/>
        <w:jc w:val="both"/>
      </w:pPr>
      <w:r>
        <w:rPr>
          <w:rFonts w:ascii="Calibri" w:hAnsi="Calibri"/>
          <w:b w:val="0"/>
          <w:i w:val="0"/>
          <w:sz w:val="21"/>
        </w:rPr>
        <w:t>Publication date, discovery date, and measured period are separate fields.</w:t>
      </w:r>
    </w:p>
    <w:p>
      <w:pPr>
        <w:pStyle w:val="FXBody"/>
        <w:keepLines w:val="0"/>
        <w:widowControl/>
        <w:numPr>
          <w:ilvl w:val="0"/>
          <w:numId w:val="2"/>
        </w:numPr>
        <w:spacing w:after="100" w:line="252" w:lineRule="auto"/>
        <w:jc w:val="both"/>
      </w:pPr>
      <w:r>
        <w:rPr>
          <w:rFonts w:ascii="Calibri" w:hAnsi="Calibri"/>
          <w:b w:val="0"/>
          <w:i w:val="0"/>
          <w:sz w:val="21"/>
        </w:rPr>
        <w:t>Later evidence may score an earlier prediction; it may not improve or invent it.</w:t>
      </w:r>
    </w:p>
    <w:p>
      <w:pPr>
        <w:pStyle w:val="FXBody"/>
        <w:keepLines w:val="0"/>
        <w:widowControl/>
        <w:numPr>
          <w:ilvl w:val="0"/>
          <w:numId w:val="2"/>
        </w:numPr>
        <w:spacing w:after="100" w:line="252" w:lineRule="auto"/>
        <w:jc w:val="both"/>
      </w:pPr>
      <w:r>
        <w:rPr>
          <w:rFonts w:ascii="Calibri" w:hAnsi="Calibri"/>
          <w:b w:val="0"/>
          <w:i w:val="0"/>
          <w:sz w:val="21"/>
        </w:rPr>
        <w:t>No current threshold, model distinction, Null forecast, or institutional correction may be back-projected into an earlier version.</w:t>
      </w:r>
    </w:p>
    <w:p>
      <w:pPr>
        <w:pStyle w:val="FXBody"/>
        <w:keepLines w:val="0"/>
        <w:widowControl/>
        <w:numPr>
          <w:ilvl w:val="0"/>
          <w:numId w:val="2"/>
        </w:numPr>
        <w:spacing w:after="100" w:line="252" w:lineRule="auto"/>
        <w:jc w:val="both"/>
      </w:pPr>
      <w:r>
        <w:rPr>
          <w:rFonts w:ascii="Calibri" w:hAnsi="Calibri"/>
          <w:b w:val="0"/>
          <w:i w:val="0"/>
          <w:sz w:val="21"/>
        </w:rPr>
        <w:t>Corrections create new rows; the original wording and error remain visible.</w:t>
      </w:r>
    </w:p>
    <w:p>
      <w:pPr>
        <w:pStyle w:val="FXBody"/>
        <w:keepLines w:val="0"/>
        <w:widowControl/>
        <w:numPr>
          <w:ilvl w:val="0"/>
          <w:numId w:val="2"/>
        </w:numPr>
        <w:spacing w:after="100" w:line="252" w:lineRule="auto"/>
        <w:jc w:val="both"/>
      </w:pPr>
      <w:r>
        <w:rPr>
          <w:rFonts w:ascii="Calibri" w:hAnsi="Calibri"/>
          <w:b w:val="0"/>
          <w:i w:val="0"/>
          <w:sz w:val="21"/>
        </w:rPr>
        <w:t>A repeated screenshot proves continuity only where exhibit identity or archived-document inclusion is verified; otherwise continuity remains Author-Attested.</w:t>
      </w:r>
    </w:p>
    <w:p>
      <w:pPr>
        <w:pStyle w:val="FXBody"/>
        <w:keepLines w:val="0"/>
        <w:widowControl/>
        <w:numPr>
          <w:ilvl w:val="0"/>
          <w:numId w:val="2"/>
        </w:numPr>
        <w:spacing w:after="100" w:line="252" w:lineRule="auto"/>
        <w:jc w:val="both"/>
      </w:pPr>
      <w:r>
        <w:rPr>
          <w:rFonts w:ascii="Calibri" w:hAnsi="Calibri"/>
          <w:b w:val="0"/>
          <w:i w:val="0"/>
          <w:sz w:val="21"/>
        </w:rPr>
        <w:t>Unknown stays unknown. Missing evidence stays missing. The maze can change; its ancestry cannot be rewritten.</w:t>
      </w:r>
    </w:p>
    <w:p>
      <w:pPr>
        <w:pStyle w:val="FXHeading2"/>
        <w:keepNext/>
        <w:keepLines w:val="0"/>
        <w:widowControl/>
      </w:pPr>
      <w:r>
        <w:rPr>
          <w:rFonts w:ascii="Aptos" w:hAnsi="Aptos"/>
          <w:b w:val="0"/>
          <w:i w:val="0"/>
          <w:color w:val="000000"/>
          <w:sz w:val="21"/>
        </w:rPr>
        <w:t>12.9 Version-History Tribunal (new in v9.0)</w:t>
      </w:r>
    </w:p>
    <w:p>
      <w:pPr>
        <w:pStyle w:val="FXBody"/>
        <w:keepLines w:val="0"/>
        <w:widowControl/>
        <w:spacing w:line="252" w:lineRule="auto"/>
      </w:pPr>
      <w:r>
        <w:rPr>
          <w:rFonts w:ascii="Calibri" w:hAnsi="Calibri"/>
          <w:b w:val="0"/>
          <w:i w:val="0"/>
          <w:sz w:val="21"/>
        </w:rPr>
        <w:t>Each available version receives: version/date; provenance strength; contemporaneous information set; verbatim claim or faithful extract; claim class; discriminator and horizon; later outcome; Camp Inversion score; strongest contemporary Null; error class; next-version repair; complexity cost; surviving content; and verdict. Missing versions or unavailable exhibits are recorded as provenance gaps, not reconstructed testimony.</w:t>
      </w:r>
    </w:p>
    <w:p>
      <w:pPr>
        <w:pStyle w:val="FXBody"/>
        <w:keepLines w:val="0"/>
        <w:widowControl/>
        <w:spacing w:line="252" w:lineRule="auto"/>
      </w:pPr>
      <w:r>
        <w:rPr>
          <w:rFonts w:ascii="Calibri" w:hAnsi="Calibri"/>
          <w:b w:val="0"/>
          <w:i w:val="0"/>
          <w:sz w:val="21"/>
        </w:rPr>
        <w:t>Error classes: institutional ownership, legal status, measurement, sign, timing, magnitude, mechanism, transmission, endpoint, data vintage, and definition drift. Mutation classes: Evidence-Driven Repair, Clarification, Scope Correction, Mechanism Replacement, Productive Survival, Narrative Rescue, Goalpost Movement, and Provenance Gap. Do not collapse these into a single numerical score.</w:t>
      </w:r>
    </w:p>
    <w:p>
      <w:pPr>
        <w:pStyle w:val="FXHeading2"/>
        <w:keepNext/>
        <w:keepLines w:val="0"/>
        <w:widowControl/>
      </w:pPr>
      <w:r>
        <w:rPr>
          <w:rFonts w:ascii="Aptos" w:hAnsi="Aptos"/>
          <w:b w:val="0"/>
          <w:i w:val="0"/>
          <w:color w:val="000000"/>
          <w:sz w:val="21"/>
        </w:rPr>
        <w:t>12.10 Milo Self-Remedy Protocol (new in v9.1)</w:t>
      </w:r>
    </w:p>
    <w:p>
      <w:pPr>
        <w:pStyle w:val="FXBody"/>
        <w:keepLines w:val="0"/>
        <w:widowControl/>
        <w:spacing w:line="252" w:lineRule="auto"/>
      </w:pPr>
      <w:r>
        <w:rPr>
          <w:rFonts w:ascii="Calibri" w:hAnsi="Calibri"/>
          <w:b w:val="0"/>
          <w:i w:val="0"/>
          <w:sz w:val="21"/>
        </w:rPr>
        <w:t>Milo asks whether our category set is missing something that matters. Strange by itself is not enough. Would correct classification require an absent actor, mechanism, transmission path or category? Could that absence change a gate, trust relationship, route or falsification condition? Milo is not a probability budget we spend on candidates. Naming one never reduces the invariant reserve.</w:t>
      </w:r>
    </w:p>
    <w:p>
      <w:pPr>
        <w:pStyle w:val="FXBody"/>
        <w:keepLines w:val="0"/>
        <w:widowControl/>
        <w:numPr>
          <w:ilvl w:val="0"/>
          <w:numId w:val="2"/>
        </w:numPr>
        <w:spacing w:after="100" w:line="252" w:lineRule="auto"/>
        <w:jc w:val="both"/>
      </w:pPr>
      <w:r>
        <w:rPr>
          <w:rFonts w:ascii="Calibri" w:hAnsi="Calibri"/>
          <w:b w:val="0"/>
          <w:i w:val="0"/>
          <w:sz w:val="21"/>
        </w:rPr>
        <w:t>Stage 0 — Unrepresented anomaly: Milo-eligible only if genuinely outside the current taxonomy.</w:t>
      </w:r>
    </w:p>
    <w:p>
      <w:pPr>
        <w:pStyle w:val="FXBody"/>
        <w:keepLines w:val="0"/>
        <w:widowControl/>
        <w:numPr>
          <w:ilvl w:val="0"/>
          <w:numId w:val="2"/>
        </w:numPr>
        <w:spacing w:after="100" w:line="252" w:lineRule="auto"/>
        <w:jc w:val="both"/>
      </w:pPr>
      <w:r>
        <w:rPr>
          <w:rFonts w:ascii="Calibri" w:hAnsi="Calibri"/>
          <w:b w:val="0"/>
          <w:i w:val="0"/>
          <w:sz w:val="21"/>
        </w:rPr>
        <w:t>Stage 1 — Named lead: preserve the observation; award no mechanism or thesis credit.</w:t>
      </w:r>
    </w:p>
    <w:p>
      <w:pPr>
        <w:pStyle w:val="FXBody"/>
        <w:keepLines w:val="0"/>
        <w:widowControl/>
        <w:numPr>
          <w:ilvl w:val="0"/>
          <w:numId w:val="2"/>
        </w:numPr>
        <w:spacing w:after="100" w:line="252" w:lineRule="auto"/>
        <w:jc w:val="both"/>
      </w:pPr>
      <w:r>
        <w:rPr>
          <w:rFonts w:ascii="Calibri" w:hAnsi="Calibri"/>
          <w:b w:val="0"/>
          <w:i w:val="0"/>
          <w:sz w:val="21"/>
        </w:rPr>
        <w:t>Stage 2 — Candidate mechanism: declare owner, channel, unit, discriminator, strongest Null, and evidence needs.</w:t>
      </w:r>
    </w:p>
    <w:p>
      <w:pPr>
        <w:pStyle w:val="FXBody"/>
        <w:keepLines w:val="0"/>
        <w:widowControl/>
        <w:numPr>
          <w:ilvl w:val="0"/>
          <w:numId w:val="2"/>
        </w:numPr>
        <w:spacing w:after="100" w:line="252" w:lineRule="auto"/>
        <w:jc w:val="both"/>
      </w:pPr>
      <w:r>
        <w:rPr>
          <w:rFonts w:ascii="Calibri" w:hAnsi="Calibri"/>
          <w:b w:val="0"/>
          <w:i w:val="0"/>
          <w:sz w:val="21"/>
        </w:rPr>
        <w:t>Stage 3 — Verified structural change: primary evidence confirms that a rule, product, venue, transaction, or access regime changed; causal effect remains unproved.</w:t>
      </w:r>
    </w:p>
    <w:p>
      <w:pPr>
        <w:pStyle w:val="FXBody"/>
        <w:keepLines w:val="0"/>
        <w:widowControl/>
        <w:numPr>
          <w:ilvl w:val="0"/>
          <w:numId w:val="2"/>
        </w:numPr>
        <w:spacing w:after="100" w:line="252" w:lineRule="auto"/>
        <w:jc w:val="both"/>
      </w:pPr>
      <w:r>
        <w:rPr>
          <w:rFonts w:ascii="Calibri" w:hAnsi="Calibri"/>
          <w:b w:val="0"/>
          <w:i w:val="0"/>
          <w:sz w:val="21"/>
        </w:rPr>
        <w:t>Stage 4 — Integrated observable: assign the mechanism to an existing variable or ledger row with cadence and falsifier; it exits Milo and enters C7.</w:t>
      </w:r>
    </w:p>
    <w:p>
      <w:pPr>
        <w:pStyle w:val="FXBody"/>
        <w:keepLines w:val="0"/>
        <w:widowControl/>
        <w:numPr>
          <w:ilvl w:val="0"/>
          <w:numId w:val="2"/>
        </w:numPr>
        <w:spacing w:after="100" w:line="252" w:lineRule="auto"/>
        <w:jc w:val="both"/>
      </w:pPr>
      <w:r>
        <w:rPr>
          <w:rFonts w:ascii="Calibri" w:hAnsi="Calibri"/>
          <w:b w:val="0"/>
          <w:i w:val="0"/>
          <w:sz w:val="21"/>
        </w:rPr>
        <w:t>Stage 5 — Supported transmission: a predeclared sequence and flow or position evidence survive Null comparison.</w:t>
      </w:r>
    </w:p>
    <w:p>
      <w:pPr>
        <w:pStyle w:val="FXBody"/>
        <w:keepLines w:val="0"/>
        <w:widowControl/>
        <w:numPr>
          <w:ilvl w:val="0"/>
          <w:numId w:val="2"/>
        </w:numPr>
        <w:spacing w:after="100" w:line="252" w:lineRule="auto"/>
        <w:jc w:val="both"/>
      </w:pPr>
      <w:r>
        <w:rPr>
          <w:rFonts w:ascii="Calibri" w:hAnsi="Calibri"/>
          <w:b w:val="0"/>
          <w:i w:val="0"/>
          <w:sz w:val="21"/>
        </w:rPr>
        <w:t>Stage 6 — Rejected or retired: adverse evidence or no viable channel; the footprint remains visible.</w:t>
      </w:r>
    </w:p>
    <w:p>
      <w:pPr>
        <w:pStyle w:val="FXBody"/>
        <w:keepLines w:val="0"/>
        <w:widowControl/>
        <w:spacing w:line="252" w:lineRule="auto"/>
      </w:pPr>
      <w:r>
        <w:rPr>
          <w:rFonts w:ascii="Calibri" w:hAnsi="Calibri"/>
          <w:b w:val="0"/>
          <w:i w:val="0"/>
          <w:sz w:val="21"/>
        </w:rPr>
        <w:t>Once we represent a mechanism, it cannot hide back inside Milo to dodge falsification. More candidates add complexity, not confirmation. The China retail gold-channel removal example is already represented in the China-Warsh memorandum through outright-long migration, compressed recalibration and two-stage shock analysis. Missing inventory measurements are therefore Unresolved, not Milo. The YSAU-to-TXSE replacement-cycle story stays at Stage 1–2 until primary operational evidence establishes the listing and observed transmission.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500"/>
        <w:gridCol w:w="1800"/>
        <w:gridCol w:w="1800"/>
        <w:gridCol w:w="2100"/>
        <w:gridCol w:w="1826"/>
      </w:tblGrid>
      <w:tr>
        <w:trPr>
          <w:tblHeader w:val="true"/>
          <w:tblHeader/>
          <w:cantSplit/>
        </w:trPr>
        <w:tc>
          <w:tcPr>
            <w:tcW w:type="dxa" w:w="15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Audit object</w:t>
            </w:r>
          </w:p>
        </w:tc>
        <w:tc>
          <w:tcPr>
            <w:tcW w:type="dxa" w:w="18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Contemporary record</w:t>
            </w:r>
          </w:p>
        </w:tc>
        <w:tc>
          <w:tcPr>
            <w:tcW w:type="dxa" w:w="18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Later finding</w:t>
            </w:r>
          </w:p>
        </w:tc>
        <w:tc>
          <w:tcPr>
            <w:tcW w:type="dxa" w:w="21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Error / survival</w:t>
            </w:r>
          </w:p>
        </w:tc>
        <w:tc>
          <w:tcPr>
            <w:tcW w:type="dxa" w:w="18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Current verdict</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Genesis Exhibit</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Bill mechanism encountered 16 Aug 2025</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Congressional ownership verified; Fed staff had analysed mechanism class 1 Aug</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Mechanism recognition survives; institutional meaning narrowed</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Corroborated Smoke + Shared + Inactive</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v1.0 start claim</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Exact archived wording required</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Pending document recovery</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Provenance Gap</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Unresolved</w:t>
            </w:r>
          </w:p>
        </w:tc>
      </w:tr>
      <w:tr>
        <w:trPr>
          <w:cantSplit/>
        </w:trPr>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v8.5 → v8.6</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Single-multiple derivation retired; Null and attribution added</w:t>
            </w:r>
          </w:p>
        </w:tc>
        <w:tc>
          <w:tcPr>
            <w:tcW w:type="dxa" w:w="18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Methodological repair remains operative</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Evidence-Driven Repair / Productive Survival</w:t>
            </w:r>
          </w:p>
        </w:tc>
        <w:tc>
          <w:tcPr>
            <w:tcW w:type="dxa" w:w="18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Confirmed mutation</w:t>
            </w:r>
          </w:p>
        </w:tc>
      </w:tr>
    </w:tbl>
    <w:p>
      <w:pPr>
        <w:pStyle w:val="FXHeading1"/>
        <w:keepNext/>
        <w:keepLines w:val="0"/>
        <w:widowControl/>
      </w:pPr>
      <w:r>
        <w:rPr>
          <w:color w:val="000000"/>
        </w:rPr>
        <w:t xml:space="preserve">13. Cross-Framework Convergence — Mechanism Mapping</w:t>
      </w:r>
    </w:p>
    <w:p>
      <w:pPr>
        <w:pStyle w:val="FXBody"/>
        <w:keepLines w:val="0"/>
        <w:widowControl/>
        <w:spacing w:after="160" w:line="252" w:lineRule="auto"/>
        <w:jc w:val="both"/>
      </w:pPr>
      <w:r>
        <w:rPr>
          <w:rFonts w:ascii="Calibri" w:hAnsi="Calibri"/>
          <w:b/>
          <w:bCs/>
          <w:sz w:val="21"/>
        </w:rPr>
        <w:t>The old “seven schools agree” presentation invites a one-line objection: authority stack. v7.6 makes the claim mechanical instead. Each school's machinery maps to a particular operating component. The table is about shared mechanics, not a vote of opinions; each row has a job.</w:t>
      </w:r>
      <w:r>
        <w:rPr>
          <w:rFonts w:ascii="Calibri" w:hAnsi="Calibri"/>
          <w:sz w:val="21"/>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tblHeade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Framework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Mechanism</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Framework component it drives</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Keynes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Liquidity trap escape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Gold proxy as the escape valve from zero-bound USD liquidity — Condition 4 of the Trigger Engine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Friedman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PPP convergence</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rPr>
              <w:t>The observable engine and fiscal ledger (§6): price, flow, policy, and balance-sheet evidence govern any release interpretation</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Triffin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Reserve-currency paradox</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The SAR peg-compression paradox (§9.2) — running live in the sandbox: peg defence forces accumulation of the devaluing reserve asset</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Volcker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Hard-money collateral anchor</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The $4,200 institutional floor and the statutory-to-market divergence as the collateral-quality signal (§7)</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Burns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Political distortion of policy</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Chaos Absorption layer (§11.2): non-rational intervention risk formalised through gate classification rather than stochastic overlay</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Dalio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Long-cycle debt dynamics</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The systemic rotation thesis (USD → gold → EM) as an end-of-debt-supercycle expression — the framework's outermost frame</w:t>
            </w:r>
          </w:p>
        </w:tc>
      </w:tr>
      <w:tr>
        <w:trPr>
          <w:cantSplit/>
        </w:trP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Burry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Asymmetric structural positioning</w:t>
            </w:r>
          </w:p>
        </w:tc>
        <w:tc>
          <w:tcPr>
            <w:tcW w:type="dxa" w:w="40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The investment layer (§15): defined-risk micro positions against nonlinear macro release, survivability over leverage</w:t>
            </w:r>
          </w:p>
        </w:tc>
      </w:tr>
    </w:tbl>
    <w:p>
      <w:pPr>
        <w:pStyle w:val="FXBody"/>
        <w:keepLines w:val="0"/>
        <w:widowControl/>
        <w:spacing w:after="160" w:line="252" w:lineRule="auto"/>
        <w:jc w:val="both"/>
      </w:pPr>
      <w:r>
        <w:rPr>
          <w:rFonts w:ascii="Calibri" w:hAnsi="Calibri"/>
          <w:b/>
          <w:bCs/>
          <w:sz w:val="21"/>
        </w:rPr>
        <w:t>Schools that usually argue with each other can still contribute mechanisms to the same structure. That gives us a cross-mechanism stress test. It does not establish inevitability, probability, timing or endpoint magnitude. Every borrowed mechanism still has to survive the evidence and falsification rules.</w:t>
      </w:r>
      <w:r>
        <w:rPr>
          <w:rFonts w:ascii="Calibri" w:hAnsi="Calibri"/>
          <w:sz w:val="21"/>
        </w:rPr>
      </w:r>
    </w:p>
    <w:p>
      <w:pPr>
        <w:pStyle w:val="FXHeading1"/>
        <w:keepNext/>
        <w:keepLines w:val="0"/>
        <w:widowControl/>
      </w:pPr>
      <w:r>
        <w:rPr>
          <w:color w:val="000000"/>
        </w:rPr>
        <w:t>14. Post-Reset BIST Repricing Map</w:t>
      </w:r>
    </w:p>
    <w:p>
      <w:pPr>
        <w:pStyle w:val="FXHeading2"/>
        <w:keepNext/>
        <w:keepLines w:val="0"/>
        <w:widowControl/>
      </w:pPr>
      <w:r>
        <w:rPr>
          <w:color w:val="000000"/>
        </w:rPr>
        <w:t>14.1 Entry Reference &amp; Valuation Boundary</w:t>
      </w:r>
    </w:p>
    <w:p>
      <w:pPr>
        <w:pStyle w:val="FXBody"/>
        <w:keepLines w:val="0"/>
        <w:widowControl/>
        <w:spacing w:after="160" w:line="252" w:lineRule="auto"/>
        <w:jc w:val="both"/>
      </w:pPr>
      <w:r>
        <w:rPr>
          <w:rFonts w:ascii="Calibri" w:hAnsi="Calibri"/>
          <w:sz w:val="21"/>
        </w:rPr>
        <w:t>An FX endpoint does not calculate BIST repricing for us. Break the path into currency/policy reset, immediate backlash or drawdown, and later compounding. Report nominal TL, real TL and hard-currency-relative results separately, with dividends, fees, taxes, tracking error, starting valuation and ending FX assumptions declared.</w:t>
      </w:r>
    </w:p>
    <w:p>
      <w:pPr>
        <w:pStyle w:val="FXHeading2"/>
        <w:keepNext/>
        <w:keepLines w:val="0"/>
        <w:widowControl/>
      </w:pPr>
      <w:r>
        <w:rPr>
          <w:color w:val="000000"/>
        </w:rPr>
        <w:t xml:space="preserve">14.2 Scenario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700"/>
        <w:gridCol w:w="2100"/>
        <w:gridCol w:w="2100"/>
        <w:gridCol w:w="3126"/>
      </w:tblGrid>
      <w:tr>
        <w:trPr>
          <w:tblHeader/>
          <w:tblHeade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spacing w:after="0"/>
              <w:jc w:val="left"/>
            </w:pPr>
            <w:r>
              <w:rPr>
                <w:rFonts w:ascii="Calibri" w:hAnsi="Calibri"/>
                <w:b/>
                <w:color w:val="FFFFFF"/>
                <w:sz w:val="18"/>
              </w:rPr>
              <w:t>Stage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spacing w:after="0"/>
              <w:jc w:val="left"/>
            </w:pPr>
            <w:r>
              <w:rPr>
                <w:rFonts w:ascii="Calibri" w:hAnsi="Calibri"/>
                <w:b/>
                <w:color w:val="FFFFFF"/>
                <w:sz w:val="18"/>
              </w:rPr>
              <w:t>Question owned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spacing w:after="0"/>
              <w:jc w:val="left"/>
            </w:pPr>
            <w:r>
              <w:rPr>
                <w:rFonts w:ascii="Calibri" w:hAnsi="Calibri"/>
                <w:b/>
                <w:color w:val="FFFFFF"/>
                <w:sz w:val="18"/>
              </w:rPr>
              <w:t>Required evidence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spacing w:after="0"/>
              <w:jc w:val="left"/>
            </w:pPr>
            <w:r>
              <w:rPr>
                <w:rFonts w:ascii="Calibri" w:hAnsi="Calibri"/>
                <w:b/>
                <w:color w:val="FFFFFF"/>
                <w:sz w:val="18"/>
              </w:rPr>
              <w:t>Authorized output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Reset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Has the USD-side valuation regime changed?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Existing DXY, gold, policy and persistence gates</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Regime classification only</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Backlash</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Whether, through which instruments, and in what net amount does capital reallocate from USD-denominated assets toward EM/BIST?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Net flows, FX conversion, foreign participation, liquidity, corridor sequence, drawdown and market capacity; distinguish USD devaluation from falling US-asset prices</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Conditional route and stress path only</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Compounding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What does an entered BIST position become over time?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Entry level/date, horizon, dividends, CPI, FX endpoints, costs, tax and tracking</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Nominal TL, real TL and hard-currency-relative ledgers</w:t>
            </w:r>
          </w:p>
        </w:tc>
      </w:tr>
    </w:tbl>
    <w:p>
      <w:pPr>
        <w:pStyle w:val="FXBody"/>
        <w:keepLines w:val="0"/>
        <w:widowControl/>
        <w:spacing w:after="160" w:line="252" w:lineRule="auto"/>
        <w:jc w:val="both"/>
      </w:pPr>
      <w:r>
        <w:rPr>
          <w:rFonts w:ascii="Calibri" w:hAnsi="Calibri"/>
          <w:sz w:val="21"/>
        </w:rPr>
        <w:t>No BIST multiple or terminal level gets framework status until the fiscal ledger connects currency and policy changes to bank funding, sovereign yields, corporate margins, external debt service, domestic demand and market capacity. Historical crises can suggest a path shape. They cannot supply the expected return.</w:t>
      </w:r>
    </w:p>
    <w:p>
      <w:pPr>
        <w:pStyle w:val="FXHeading2"/>
        <w:keepNext/>
        <w:keepLines w:val="0"/>
        <w:widowControl/>
      </w:pPr>
      <w:r>
        <w:rPr>
          <w:color w:val="000000"/>
        </w:rPr>
        <w:t xml:space="preserve">14.3 Market Structure Implications</w:t>
      </w:r>
    </w:p>
    <w:p>
      <w:pPr>
        <w:pStyle w:val="FXBody"/>
        <w:keepLines w:val="0"/>
        <w:widowControl/>
        <w:spacing w:after="160" w:line="252" w:lineRule="auto"/>
        <w:jc w:val="both"/>
      </w:pPr>
      <w:r>
        <w:rPr>
          <w:rFonts w:ascii="Calibri" w:hAnsi="Calibri"/>
          <w:b w:val="false"/>
          <w:bCs w:val="false"/>
          <w:i w:val="false"/>
          <w:iCs w:val="false"/>
          <w:sz w:val="21"/>
        </w:rPr>
        <w:t>In an extreme capital-rotation scenario, repeated US circuit breakers and BIST's +10% daily limits could stretch price discovery across sessions. Those are conditional stress assumptions; they need realized flow and liquidity evidence. Direct ownership changes the counterparty chain. Broker, custody, settlement, legal and liquidity risks still exist.</w:t>
      </w:r>
    </w:p>
    <w:p>
      <w:pPr>
        <w:pStyle w:val="FXHeading2"/>
        <w:keepNext/>
        <w:keepLines w:val="0"/>
        <w:widowControl/>
      </w:pPr>
      <w:r>
        <w:rPr>
          <w:rFonts w:ascii="Aptos" w:hAnsi="Aptos"/>
          <w:b w:val="0"/>
          <w:i w:val="0"/>
          <w:color w:val="000000"/>
          <w:sz w:val="21"/>
        </w:rPr>
        <w:t>14.4 Instrument Transmission Map — Descriptive Only (new in v8.6)</w:t>
      </w:r>
    </w:p>
    <w:p>
      <w:pPr>
        <w:pStyle w:val="FXBody"/>
        <w:keepLines w:val="0"/>
        <w:widowControl/>
        <w:spacing w:line="252" w:lineRule="auto"/>
      </w:pPr>
      <w:r>
        <w:rPr>
          <w:rFonts w:ascii="Calibri" w:hAnsi="Calibri"/>
          <w:b w:val="0"/>
          <w:i w:val="0"/>
          <w:sz w:val="21"/>
        </w:rPr>
        <w:t>This map describes channel exposure. It does not rank instruments or instruct a position, trade or allocation. Every simulation must separate reset, immediate backlash and later compounding, then report nominal TL, real TL and hard-currency results independently.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700"/>
        <w:gridCol w:w="2100"/>
        <w:gridCol w:w="2100"/>
        <w:gridCol w:w="3126"/>
      </w:tblGrid>
      <w:tr>
        <w:trPr>
          <w:tblHeader w:val="true"/>
          <w:tblHeader/>
          <w:cantSplit/>
        </w:trPr>
        <w:tc>
          <w:tcPr>
            <w:tcW w:type="dxa" w:w="17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Instrument</w:t>
            </w:r>
          </w:p>
        </w:tc>
        <w:tc>
          <w:tcPr>
            <w:tcW w:type="dxa" w:w="21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First-order channel</w:t>
            </w:r>
          </w:p>
        </w:tc>
        <w:tc>
          <w:tcPr>
            <w:tcW w:type="dxa" w:w="21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Backlash risk</w:t>
            </w:r>
          </w:p>
        </w:tc>
        <w:tc>
          <w:tcPr>
            <w:tcW w:type="dxa" w:w="31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Later channel / required evidence</w:t>
            </w:r>
          </w:p>
        </w:tc>
      </w:tr>
      <w:tr>
        <w:trPr>
          <w:cantSplit/>
        </w:trPr>
        <w:tc>
          <w:tcPr>
            <w:tcW w:type="dxa" w:w="17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TRY cash/deposits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Policy rates, inflation, conversion rules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Real purchasing-power loss; access friction</w:t>
            </w:r>
          </w:p>
        </w:tc>
        <w:tc>
          <w:tcPr>
            <w:tcW w:type="dxa" w:w="3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Deposit switching and real-yield evidence</w:t>
            </w:r>
          </w:p>
        </w:tc>
      </w:tr>
      <w:tr>
        <w:trPr>
          <w:cantSplit/>
        </w:trPr>
        <w:tc>
          <w:tcPr>
            <w:tcW w:type="dxa" w:w="17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Nominal local bonds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Rates, inflation expectations, term premium</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Yield spike and duration loss</w:t>
            </w:r>
          </w:p>
        </w:tc>
        <w:tc>
          <w:tcPr>
            <w:tcW w:type="dxa" w:w="3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Fiscal path, issuance, foreign participation</w:t>
            </w:r>
          </w:p>
        </w:tc>
      </w:tr>
      <w:tr>
        <w:trPr>
          <w:cantSplit/>
        </w:trPr>
        <w:tc>
          <w:tcPr>
            <w:tcW w:type="dxa" w:w="17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Inflation-linked bonds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Indexation and real yields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Lag, basis, liquidity, policy risk</w:t>
            </w:r>
          </w:p>
        </w:tc>
        <w:tc>
          <w:tcPr>
            <w:tcW w:type="dxa" w:w="3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Index integrity and real-rate path</w:t>
            </w:r>
          </w:p>
        </w:tc>
      </w:tr>
      <w:tr>
        <w:trPr>
          <w:cantSplit/>
        </w:trPr>
        <w:tc>
          <w:tcPr>
            <w:tcW w:type="dxa" w:w="17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Banks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Funding, sovereign book, FX liquidity</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Deposit flight, NPLs, capital pressure</w:t>
            </w:r>
          </w:p>
        </w:tc>
        <w:tc>
          <w:tcPr>
            <w:tcW w:type="dxa" w:w="3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Capital/liquidity and margin evidence</w:t>
            </w:r>
          </w:p>
        </w:tc>
      </w:tr>
      <w:tr>
        <w:trPr>
          <w:cantSplit/>
        </w:trPr>
        <w:tc>
          <w:tcPr>
            <w:tcW w:type="dxa" w:w="17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Exporters/importers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FX revenue/cost mismatch</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Working-capital and demand shock</w:t>
            </w:r>
          </w:p>
        </w:tc>
        <w:tc>
          <w:tcPr>
            <w:tcW w:type="dxa" w:w="3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Hedge ratio, debt service, pass-through</w:t>
            </w:r>
          </w:p>
        </w:tc>
      </w:tr>
      <w:tr>
        <w:trPr>
          <w:cantSplit/>
        </w:trPr>
        <w:tc>
          <w:tcPr>
            <w:tcW w:type="dxa" w:w="17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Broad BIST</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Nominal reset and flows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Circuit limits, margin/liquidity shock</w:t>
            </w:r>
          </w:p>
        </w:tc>
        <w:tc>
          <w:tcPr>
            <w:tcW w:type="dxa" w:w="3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Earnings, valuation, custody, market depth</w:t>
            </w:r>
          </w:p>
        </w:tc>
      </w:tr>
      <w:tr>
        <w:trPr>
          <w:cantSplit/>
        </w:trPr>
        <w:tc>
          <w:tcPr>
            <w:tcW w:type="dxa" w:w="17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Gold</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USD/real rates and attribution components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Positioning unwind; proxy impairment</w:t>
            </w:r>
          </w:p>
        </w:tc>
        <w:tc>
          <w:tcPr>
            <w:tcW w:type="dxa" w:w="3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Tribunal result and delivery premiums</w:t>
            </w:r>
          </w:p>
        </w:tc>
      </w:tr>
      <w:tr>
        <w:trPr>
          <w:cantSplit/>
        </w:trPr>
        <w:tc>
          <w:tcPr>
            <w:tcW w:type="dxa" w:w="17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Hard-currency sovereign debt</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Credit spread and global rates</w:t>
            </w:r>
          </w:p>
        </w:tc>
        <w:tc>
          <w:tcPr>
            <w:tcW w:type="dxa" w:w="21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Default/liquidity repricing</w:t>
            </w:r>
          </w:p>
        </w:tc>
        <w:tc>
          <w:tcPr>
            <w:tcW w:type="dxa" w:w="3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Fiscal ledger, reserves, rollover capacity</w:t>
            </w:r>
          </w:p>
        </w:tc>
      </w:tr>
    </w:tbl>
    <w:p>
      <w:pPr>
        <w:pStyle w:val="FXHeading1"/>
        <w:keepNext/>
        <w:keepLines w:val="0"/>
        <w:widowControl/>
      </w:pPr>
      <w:r>
        <w:rPr>
          <w:color w:val="000000"/>
        </w:rPr>
        <w:t>15. Survivable-Conviction &amp; Allocation Governance</w:t>
      </w:r>
    </w:p>
    <w:p>
      <w:pPr>
        <w:pStyle w:val="FXHeading2"/>
        <w:keepNext/>
        <w:keepLines w:val="0"/>
        <w:widowControl/>
      </w:pPr>
      <w:r>
        <w:rPr>
          <w:color w:val="000000"/>
        </w:rPr>
        <w:t>15.1 Burry Layer: Defined-Risk Asymmetry</w:t>
      </w:r>
    </w:p>
    <w:p>
      <w:pPr>
        <w:pStyle w:val="FXBody"/>
        <w:keepLines w:val="0"/>
        <w:widowControl/>
        <w:spacing w:after="160" w:line="252" w:lineRule="auto"/>
        <w:jc w:val="both"/>
      </w:pPr>
      <w:r>
        <w:rPr>
          <w:rFonts w:ascii="Calibri" w:hAnsi="Calibri"/>
          <w:b w:val="false"/>
          <w:bCs w:val="false"/>
          <w:i w:val="false"/>
          <w:iCs w:val="false"/>
          <w:sz w:val="21"/>
        </w:rPr>
        <w:t>The Burry layer is a small, unlevered loss budget aimed at participating in nonlinear repricing while surviving a thesis that is late or wrong. The inherited ₺2,000–5,000 band is a private implementation convention. It is neither a universal recommendation nor a percentage or threshold. Direct exposure, liquidity, jurisdiction, tax and counterparties remain separate implementation questions.</w:t>
      </w:r>
    </w:p>
    <w:p>
      <w:pPr>
        <w:pStyle w:val="FXHeading2"/>
        <w:keepNext/>
        <w:keepLines w:val="0"/>
        <w:widowControl/>
      </w:pPr>
      <w:r>
        <w:rPr>
          <w:color w:val="000000"/>
        </w:rPr>
        <w:t>15.2 Risk Budget, Liquidity &amp; Exit Governance</w:t>
      </w:r>
    </w:p>
    <w:p>
      <w:pPr>
        <w:pStyle w:val="FXBody"/>
        <w:keepLines w:val="0"/>
        <w:widowControl/>
        <w:spacing w:after="160" w:line="252" w:lineRule="auto"/>
        <w:jc w:val="both"/>
      </w:pPr>
      <w:r>
        <w:rPr>
          <w:rFonts w:ascii="Calibri" w:hAnsi="Calibri"/>
          <w:b w:val="0"/>
          <w:i w:val="0"/>
          <w:sz w:val="21"/>
        </w:rPr>
        <w:t>Private implementation can set a maximum loss budget and liquidity reserve before considering upside. Nothing in §§1–14 or §16 automatically changes a tier, authorizes deployment or becomes personal advice. Leverage, liquidity, invalidation, legal access and operational capacity remain independent constraints outside route classification.</w:t>
      </w:r>
    </w:p>
    <w:p>
      <w:pPr>
        <w:pStyle w:val="FXBody"/>
        <w:keepLines w:val="0"/>
        <w:widowControl/>
        <w:spacing w:after="160" w:line="252" w:lineRule="auto"/>
        <w:jc w:val="both"/>
      </w:pPr>
      <w:r>
        <w:rPr>
          <w:rFonts w:ascii="Calibri" w:hAnsi="Calibri"/>
          <w:b w:val="0"/>
          <w:i w:val="0"/>
          <w:sz w:val="21"/>
        </w:rPr>
        <w:t>Private governance convention (v8.6 boundary). Exit and resize decisions belong in the private implementation ledger. The analytical engine changes model status after confirmed falsification and route rank after administration deterioration. Neither event itself orders a transaction. Private loss limits, liquidity, law, tax, custody and suitability remain separately controlling.</w:t>
      </w:r>
    </w:p>
    <w:p>
      <w:pPr>
        <w:pStyle w:val="FXHeading2"/>
        <w:keepNext/>
        <w:keepLines w:val="0"/>
        <w:widowControl/>
      </w:pPr>
      <w:r>
        <w:rPr>
          <w:color w:val="000000"/>
        </w:rPr>
        <w:t>15.3 Fractional-Kelly-Inspired Conviction Ladder (v8.3)</w:t>
      </w:r>
    </w:p>
    <w:p>
      <w:pPr>
        <w:pStyle w:val="FXBody"/>
        <w:keepLines w:val="0"/>
        <w:widowControl/>
        <w:spacing w:after="160" w:line="252" w:lineRule="auto"/>
        <w:jc w:val="both"/>
      </w:pPr>
      <w:r>
        <w:rPr>
          <w:rFonts w:ascii="Calibri" w:hAnsi="Calibri"/>
          <w:sz w:val="21"/>
        </w:rPr>
        <w:t>Kelly is a discipline here, not a way to rename gate scores as probabilities. Full Kelly is f* = p − (1−p)/b, with a defensible win probability p and net payoff-to-loss ratio b. We have not estimated p or b from a calibrated sample, so we cannot calculate full Kelly. Sizing stays bounded and fractional-Kelly-inspired, capped by the predeclared loss budget, liquidity needs and the ladder below.</w:t>
      </w:r>
    </w:p>
    <w:p>
      <w:pPr>
        <w:pStyle w:val="FXBody"/>
        <w:keepLines w:val="0"/>
        <w:widowControl/>
        <w:spacing w:after="160" w:line="252" w:lineRule="auto"/>
        <w:jc w:val="both"/>
      </w:pPr>
      <w:r>
        <w:rPr>
          <w:rFonts w:ascii="Calibri" w:hAnsi="Calibri"/>
          <w:b/>
          <w:bCs/>
          <w:sz w:val="21"/>
        </w:rPr>
        <w:t>Do not put the old additive confidence percentages into p. When uncertainty is high, missing, stale or sensitive to definitions, the permitted fraction can be zero. Score thesis confidence, route risk and implementation risk separately. A favorable thesis cannot cancel an administration or liquidity failure.</w:t>
      </w:r>
      <w:r>
        <w:rPr>
          <w:rFonts w:ascii="Calibri" w:hAnsi="Calibri"/>
          <w:sz w:val="21"/>
        </w:rPr>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700"/>
        <w:gridCol w:w="2100"/>
        <w:gridCol w:w="2100"/>
        <w:gridCol w:w="3126"/>
      </w:tblGrid>
      <w:tr>
        <w:trPr>
          <w:tblHeader/>
          <w:tblHeade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Tier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Evidence condition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Permitted posture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Route treatment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0 — Zero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Confirmed falsification, Suspended Animation, or hard liquidity/legal block</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No thesis exposure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No route allocation</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1 — Survival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Fewer than two primary gates auditable/favorable; or material series uncertainty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Minimum defined-risk probe only, including zero</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Messy risks dominate</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2 — Probe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Two primary legs favorable but USD-side confirmation incomplete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Small fraction of loss budget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Unresolved; no target inference</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3 — Build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Three primary gates confirmed with required medians; sequence still orderly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Incremental additions within hard cap</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Orderly route gaining rank</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4 — Conviction ceiling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All four primary gates active with persistence and no C7 structural contradiction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Capped fractional allocation; never leverage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Orderly route leads</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Messy override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Corridor breaks before USD-side confirmation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Return toward Survival regardless of thesis score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Messy route leads</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Implementation override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Counterparty, settlement, tax, legal, or liquidity risk changes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Resize or exit independently</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Not a thesis verdict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Calculation gate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Defensible p and b absent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Do not compute full Kelly</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Use ordinal ladder only</w:t>
            </w:r>
          </w:p>
        </w:tc>
      </w:tr>
    </w:tbl>
    <w:p>
      <w:pPr>
        <w:pStyle w:val="FXBody"/>
        <w:keepLines w:val="0"/>
        <w:widowControl/>
        <w:spacing w:after="160" w:line="252" w:lineRule="auto"/>
        <w:jc w:val="both"/>
      </w:pPr>
      <w:r>
        <w:rPr>
          <w:rFonts w:ascii="Calibri" w:hAnsi="Calibri"/>
          <w:b/>
          <w:bCs/>
          <w:sz w:val="21"/>
        </w:rPr>
        <w:t>The ladder gives an order, not probabilities. Moving upward needs persistence. A hard constraint or confirmed contradiction moves it downward immediately. The messy-route override reduces exposure even when overall thesis confidence remains positive.</w:t>
      </w:r>
      <w:r>
        <w:rPr>
          <w:rFonts w:ascii="Calibri" w:hAnsi="Calibri"/>
          <w:sz w:val="21"/>
        </w:rPr>
      </w:r>
    </w:p>
    <w:p>
      <w:pPr>
        <w:pStyle w:val="FXHeading2"/>
        <w:keepNext/>
        <w:keepLines w:val="0"/>
        <w:widowControl/>
      </w:pPr>
      <w:r>
        <w:rPr>
          <w:color w:val="000000"/>
        </w:rPr>
        <w:t>15.4 Private Worked Example — 4 August 2026</w:t>
      </w:r>
    </w:p>
    <w:p>
      <w:pPr>
        <w:pStyle w:val="FXBody"/>
        <w:keepLines w:val="0"/>
        <w:widowControl/>
        <w:spacing w:line="252" w:lineRule="auto"/>
      </w:pPr>
      <w:r>
        <w:rPr>
          <w:rFonts w:ascii="Calibri" w:hAnsi="Calibri"/>
          <w:sz w:val="21"/>
        </w:rPr>
        <w:t>The 4 August 2026 private example records a prior ₺1,000 cash balance plus a planned ₺2,000 addition as ₺3,000 unallocated OYAK cash. No ETF, fund, stock, gold or other thesis instrument has been bought: acquired-instrument exposure is ₺0. The evidence ceiling remains Tier 1 — Survival, which permits zero deployment. Cash itself is neither a tier nor a position, and it still carries TL purchasing-power, account-provider, custody, access, liquidity and legal risks. This is not reimbursement accounting, thesis evidence, a universal allocation rule or a recommendation. The later contemplated ₺15,000 BIST deployment still needs a defined post-reset entry rule and instrument.</w:t>
      </w:r>
    </w:p>
    <w:p>
      <w:pPr>
        <w:pStyle w:val="FXHeading1"/>
        <w:keepNext/>
        <w:keepLines w:val="0"/>
        <w:widowControl/>
      </w:pPr>
      <w:r>
        <w:rPr>
          <w:color w:val="000000"/>
        </w:rPr>
        <w:t>16. Monitoring Dashboard - Historical Signals by Function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700"/>
        <w:gridCol w:w="2100"/>
        <w:gridCol w:w="2100"/>
        <w:gridCol w:w="3126"/>
      </w:tblGrid>
      <w:tr>
        <w:trPr>
          <w:tblHeader/>
          <w:tblHeade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Metric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Threshold / role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Status (4 Aug 2026)</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17365D"/>
            <w:shd w:fill="17365D"/>
          </w:tcPr>
          <w:p>
            <w:pPr>
              <w:pStyle w:val="FXTable"/>
              <w:keepNext w:val="0"/>
              <w:keepLines w:val="0"/>
            </w:pPr>
            <w:r>
              <w:rPr>
                <w:rFonts w:ascii="Calibri" w:hAnsi="Calibri"/>
                <w:b/>
                <w:color w:val="FFFFFF"/>
                <w:sz w:val="18"/>
              </w:rPr>
              <w:t>Cadence / caveat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DXY — primary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&lt;100; falling 4-week median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BOUNDARY ~100</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Daily; canonical ICE series required</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TRY 5y CDS — primary/admin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&lt;250 bp 4-week median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~237.2 point favorable; median unknown</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Delayed provider series</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Gold — primary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&gt;$4,200 4-week median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BELOW GATE (~$4.06–4.12k; COMEX $4,033.70)</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Daily; choose one instrument</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USD/TRY — primary/admin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Drift-adjusted; no panic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ORDERLY near 47.55</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Intraday; roll corridor mechanically</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Japan 10y JGB — auxiliary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&gt;2.0%</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CONFIRMING ~2.84–2.86%</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Weekly; intervention ≠ proven UST sale</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PBOC gold — auxiliary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Active buying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ACTIVE 20 months through June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Monthly; July release pending</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Sovereign swap-line flag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Verified request/activation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UNVERIFIED / do not carry prior claim</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Event-driven; primary source required</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State contagion counter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Implemented specie-tender infrastructure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MONITORED</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Monthly; legal operation ≠ market adoption</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Regime coherence R(t)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Prior-cycle locked gate states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CONTESTED</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Cycle-start lock</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γcap expectation flag</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Expected change separated from realized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HAWKISH SIGNAL; realized dormant</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Per FOMC cycle; name contract/timestamp</w:t>
            </w:r>
          </w:p>
        </w:tc>
      </w:tr>
      <w:tr>
        <w:trPr>
          <w:cantSplit/>
        </w:trP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Corridor Quality Index</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Requires published formula and inputs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INDETERMINATE</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pPr>
            <w:r>
              <w:rPr>
                <w:rFonts w:ascii="Calibri" w:hAnsi="Calibri"/>
                <w:b w:val="0"/>
                <w:color w:val="222222"/>
                <w:sz w:val="18"/>
              </w:rPr>
              <w:t>Do not infer a number visually</w:t>
            </w:r>
          </w:p>
        </w:tc>
      </w:tr>
    </w:tbl>
    <w:p>
      <w:pPr>
        <w:pStyle w:val="FXHeading2"/>
        <w:keepNext/>
        <w:keepLines w:val="0"/>
        <w:widowControl/>
      </w:pPr>
      <w:r>
        <w:rPr>
          <w:rFonts w:ascii="Aptos" w:hAnsi="Aptos"/>
          <w:color w:val="000000"/>
        </w:rPr>
        <w:t>16.1 Route Selection and Route Pricing</w:t>
      </w:r>
    </w:p>
    <w:p>
      <w:pPr>
        <w:pStyle w:val="FXBody"/>
        <w:keepLines w:val="0"/>
        <w:widowControl/>
        <w:spacing w:after="160" w:line="252" w:lineRule="auto"/>
        <w:jc w:val="both"/>
      </w:pPr>
      <w:r>
        <w:rPr>
          <w:rFonts w:ascii="Calibri" w:hAnsi="Calibri"/>
          <w:sz w:val="21"/>
        </w:rPr>
        <w:t>Sequence selects the route; balance-sheet and flow evidence price it. If USD-side confirmation arrives while corridor and ledger capacity hold, Orderly ranks higher. If corridor failure or fiscal exhaustion arrives first, Messy ranks higher. If the ordering is unestablished or the ledger incomplete, use Unresolved / No Release. Sequence does not manufacture an endpoint, probability or allocation permission.</w:t>
      </w:r>
    </w:p>
    <w:p>
      <w:pPr>
        <w:pStyle w:val="FXBody"/>
        <w:keepLines w:val="0"/>
        <w:widowControl/>
        <w:spacing w:after="160" w:line="252" w:lineRule="auto"/>
        <w:jc w:val="both"/>
      </w:pPr>
      <w:r>
        <w:rPr>
          <w:rFonts w:ascii="Calibri" w:hAnsi="Calibri"/>
          <w:b/>
          <w:bCs/>
          <w:sz w:val="21"/>
        </w:rPr>
        <w:t>The v8.4 route-selector repair keeps the jobs separate. USD-side confirmation before corridor failure supports Orderly; corridor failure before USD confirmation supports Messy; missing persistent alignment leaves Unresolved / No Release. The 4–10 and 340–460+ figures stay legacy branch hypotheses. Neither follows mathematically from the sequence. Both still need independent derivation and calibration covering flows, market capacity, liquidity and FX evidence.</w:t>
      </w:r>
      <w:r>
        <w:rPr>
          <w:rFonts w:ascii="Calibri" w:hAnsi="Calibri"/>
          <w:sz w:val="21"/>
        </w:rPr>
      </w:r>
    </w:p>
    <w:p>
      <w:pPr>
        <w:pStyle w:val="FXBody"/>
        <w:keepLines w:val="0"/>
        <w:widowControl/>
        <w:spacing w:after="160" w:line="252" w:lineRule="auto"/>
        <w:jc w:val="both"/>
      </w:pPr>
      <w:r>
        <w:rPr>
          <w:rFonts w:ascii="Calibri" w:hAnsi="Calibri"/>
          <w:b/>
          <w:bCs/>
          <w:sz w:val="21"/>
        </w:rPr>
        <w:t>Kronk Heuristic (repaired v8.4). Kronk makes the ordering easier to remember. Wrong lever: TL containment breaks first, so Messy leads. Right lever: USD-side conditions confirm while containment holds, so Orderly leads. No lever: persistent alignment never arrives, so we stay Unresolved / No Release. Same thesis, different sequence. The endpoint still owes us independent evidence.</w:t>
      </w:r>
      <w:r>
        <w:rPr>
          <w:rFonts w:ascii="Calibri" w:hAnsi="Calibri"/>
          <w:sz w:val="21"/>
        </w:rPr>
      </w:r>
    </w:p>
    <w:p>
      <w:pPr>
        <w:pStyle w:val="FXBody"/>
        <w:keepLines w:val="0"/>
        <w:widowControl/>
        <w:spacing w:after="160" w:line="252" w:lineRule="auto"/>
        <w:jc w:val="both"/>
      </w:pPr>
      <w:r>
        <w:rPr>
          <w:rFonts w:ascii="Calibri" w:hAnsi="Calibri"/>
          <w:b/>
          <w:bCs/>
          <w:sz w:val="21"/>
        </w:rPr>
        <w:t>Confirmation strength remains defined as gold &gt;$4,200 on a four-week rolling median, but v8.3 adds a series-definition gate: no persistence verdict is valid until one canonical instrument is named. On 4 August current spot/CFD and COMEX observations are below the activation level; DXY is approximately on 100 rather than safely below it.</w:t>
      </w:r>
      <w:r>
        <w:rPr>
          <w:rFonts w:ascii="Calibri" w:hAnsi="Calibri"/>
          <w:sz w:val="21"/>
        </w:rPr>
      </w:r>
    </w:p>
    <w:p>
      <w:pPr>
        <w:pStyle w:val="FXBody"/>
        <w:keepLines w:val="0"/>
        <w:widowControl/>
        <w:spacing w:after="160" w:line="252" w:lineRule="auto"/>
        <w:jc w:val="both"/>
      </w:pPr>
      <w:r>
        <w:rPr>
          <w:rFonts w:ascii="Calibri" w:hAnsi="Calibri"/>
          <w:b/>
          <w:bCs/>
          <w:sz w:val="21"/>
        </w:rPr>
        <w:t>If the corridor starts releasing before USD-side confirmation, log a Messy-route warning and move exposure back toward Survival. USD-side confirmation with an intact corridor raises Orderly's qualitative rank. Neither produces probability mass or an exact target. If the configuration is contested or fails persistence, it remains Unresolved / No Release.</w:t>
      </w:r>
      <w:r>
        <w:rPr>
          <w:rFonts w:ascii="Calibri" w:hAnsi="Calibri"/>
          <w:sz w:val="21"/>
        </w:rPr>
      </w:r>
    </w:p>
    <w:p>
      <w:pPr>
        <w:pStyle w:val="FXBody"/>
        <w:keepLines w:val="0"/>
        <w:widowControl/>
        <w:spacing w:after="160" w:line="252" w:lineRule="auto"/>
        <w:jc w:val="both"/>
      </w:pPr>
      <w:r>
        <w:rPr>
          <w:rFonts w:ascii="Calibri" w:hAnsi="Calibri"/>
          <w:b w:val="false"/>
          <w:bCs w:val="false"/>
          <w:i w:val="false"/>
          <w:iCs w:val="false"/>
          <w:sz w:val="21"/>
        </w:rPr>
        <w:t xml:space="preserve">Dashboard treatment: no new signal line. Sequence discipline is a standing interpretive rule applied across signals 1–4 of the existing dashboard — an ordering check, evaluated whenever any of the four primary triggers changes status.</w:t>
      </w:r>
    </w:p>
    <w:p>
      <w:pPr>
        <w:pStyle w:val="FXHeading2"/>
        <w:keepNext/>
        <w:keepLines w:val="0"/>
        <w:widowControl/>
      </w:pPr>
      <w:r>
        <w:rPr>
          <w:rFonts w:ascii="Aptos" w:hAnsi="Aptos"/>
          <w:b w:val="0"/>
          <w:i w:val="0"/>
          <w:color w:val="000000"/>
          <w:sz w:val="21"/>
        </w:rPr>
        <w:t>16.2 Model Contest Scoreboard (new in v8.6)</w:t>
      </w:r>
    </w:p>
    <w:p>
      <w:pPr>
        <w:pStyle w:val="FXBody"/>
        <w:keepLines w:val="0"/>
        <w:widowControl/>
        <w:spacing w:line="252" w:lineRule="auto"/>
      </w:pPr>
      <w:r>
        <w:rPr>
          <w:rFonts w:ascii="Calibri" w:hAnsi="Calibri"/>
          <w:b w:val="0"/>
          <w:i w:val="0"/>
          <w:sz w:val="21"/>
        </w:rPr>
        <w:t>Both models explain the observation; their frozen errors decide which earns trust. Each monthly cycle records the frozen Inversion and Null predictions, discriminator, outcome, score, route effect and amendment flag. Show cumulative wins, losses, draws and unresolved observations. Do not turn those into probability percentages without a defensible calibration history.</w:t>
      </w:r>
    </w:p>
    <w:p>
      <w:pPr>
        <w:pStyle w:val="FXHeading2"/>
        <w:keepNext/>
        <w:keepLines w:val="0"/>
        <w:widowControl/>
      </w:pPr>
      <w:r>
        <w:rPr>
          <w:rFonts w:ascii="Aptos" w:hAnsi="Aptos"/>
          <w:b w:val="0"/>
          <w:i w:val="0"/>
          <w:color w:val="000000"/>
          <w:sz w:val="21"/>
        </w:rPr>
        <w:t>16.3 Genesis Audit Dashboard (new in v9.0)</w:t>
      </w:r>
    </w:p>
    <w:p>
      <w:pPr>
        <w:pStyle w:val="FXBody"/>
        <w:keepLines w:val="0"/>
        <w:widowControl/>
        <w:spacing w:line="252" w:lineRule="auto"/>
      </w:pPr>
      <w:r>
        <w:rPr>
          <w:rFonts w:ascii="Calibri" w:hAnsi="Calibri"/>
          <w:b w:val="0"/>
          <w:i w:val="0"/>
          <w:sz w:val="21"/>
        </w:rPr>
        <w:t>The ledger keeps the clue. C7 argues over what it means. This dashboard reports counts and provenance states; probabilities and empirical forecast accuracy wait for a stable recovered archive and scoring denominator.</w:t>
      </w:r>
    </w:p>
    <w:p>
      <w:pPr>
        <w:pStyle w:val="FXBody"/>
        <w:keepLines w:val="0"/>
        <w:widowControl/>
        <w:spacing w:line="252" w:lineRule="auto"/>
      </w:pPr>
      <w:r>
        <w:rPr>
          <w:rFonts w:ascii="Calibri" w:hAnsi="Calibri"/>
          <w:b w:val="0"/>
          <w:i w:val="0"/>
          <w:sz w:val="21"/>
        </w:rPr>
        <w:t>Keep the gold/statutory ratio and rounded Buffett reference as descriptive audit fields. Crossing has no automatic consequence. Model Space Represented / Milo Candidate keeps its separate category-review job under §12.10.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val="true"/>
          <w:tblHeader/>
          <w:cantSplit/>
        </w:trPr>
        <w:tc>
          <w:tcPr>
            <w:tcW w:type="dxa" w:w="2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Metric</w:t>
            </w:r>
          </w:p>
        </w:tc>
        <w:tc>
          <w:tcPr>
            <w:tcW w:type="dxa" w:w="3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Current v9.0 state</w:t>
            </w:r>
          </w:p>
        </w:tc>
        <w:tc>
          <w:tcPr>
            <w:tcW w:type="dxa" w:w="40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Required completion</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Genesis Exhibit</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Exhibit-Verified; source mechanism identified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Archive hash/embedded-object comparison where available</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Institutional ownership</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Congressional design; Fed staff research; executive reserve policy separated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Preserve separate source rows</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Versions located / known</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Incomplete archive in current workspace</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Recover v1.0–v8.3 originals; do not infer missing text</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Claims by type</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Register opened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Classify prediction / interpretation / reconstruction</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Threshold genealogy</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Template opened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Trace first appearance and prior-data exposure</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Rescues / goalpost changes</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Not yet exhaustively counted</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Audit exact old wording and dates</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Surviving doctrine</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Camp Inversion, containment, route sequence, C7, market falsification</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Test survival without importing retired equations</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v9.1</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4 August 2026</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Reflexive Containment &amp; Quote-Inversion Edition: adds the user-defined gold/statutory devaluation envelope, explicit USD/TRY and reciprocal TRY/USD scenario transformation, common-knowledge containment hypothesis and falsifier, China ugly-long and Texas replacement-cycle ledger, and Milo self-remedy lifecycle. Corrects Milo origin to approximately v3.0. No fair value, probability, live gate, allocation, or deterministic endpoint added.</w:t>
            </w:r>
          </w:p>
        </w:tc>
      </w:tr>
    </w:tbl>
    <w:p>
      <w:pPr>
        <w:widowControl/>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950"/>
        <w:gridCol w:w="1350"/>
        <w:gridCol w:w="1350"/>
        <w:gridCol w:w="1350"/>
        <w:gridCol w:w="1350"/>
        <w:gridCol w:w="1350"/>
        <w:gridCol w:w="1326"/>
      </w:tblGrid>
      <w:tr>
        <w:trPr>
          <w:tblHeader w:val="true"/>
          <w:tblHeader/>
          <w:cantSplit/>
        </w:trPr>
        <w:tc>
          <w:tcPr>
            <w:tcW w:type="dxa" w:w="95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Cycle</w:t>
            </w:r>
          </w:p>
        </w:tc>
        <w:tc>
          <w:tcPr>
            <w:tcW w:type="dxa" w:w="135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Inversion prediction</w:t>
            </w:r>
          </w:p>
        </w:tc>
        <w:tc>
          <w:tcPr>
            <w:tcW w:type="dxa" w:w="135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Null prediction</w:t>
            </w:r>
          </w:p>
        </w:tc>
        <w:tc>
          <w:tcPr>
            <w:tcW w:type="dxa" w:w="135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Discriminator</w:t>
            </w:r>
          </w:p>
        </w:tc>
        <w:tc>
          <w:tcPr>
            <w:tcW w:type="dxa" w:w="135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Outcome / score</w:t>
            </w:r>
          </w:p>
        </w:tc>
        <w:tc>
          <w:tcPr>
            <w:tcW w:type="dxa" w:w="135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Route effect</w:t>
            </w:r>
          </w:p>
        </w:tc>
        <w:tc>
          <w:tcPr>
            <w:tcW w:type="dxa" w:w="13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Amendment</w:t>
            </w:r>
          </w:p>
        </w:tc>
      </w:tr>
      <w:tr>
        <w:trPr>
          <w:cantSplit/>
        </w:trPr>
        <w:tc>
          <w:tcPr>
            <w:tcW w:type="dxa" w:w="95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Next cycle</w:t>
            </w:r>
          </w:p>
        </w:tc>
        <w:tc>
          <w:tcPr>
            <w:tcW w:type="dxa" w:w="135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Frozen before interval</w:t>
            </w:r>
          </w:p>
        </w:tc>
        <w:tc>
          <w:tcPr>
            <w:tcW w:type="dxa" w:w="135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Frozen before interval</w:t>
            </w:r>
          </w:p>
        </w:tc>
        <w:tc>
          <w:tcPr>
            <w:tcW w:type="dxa" w:w="135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Declared ex ante</w:t>
            </w:r>
          </w:p>
        </w:tc>
        <w:tc>
          <w:tcPr>
            <w:tcW w:type="dxa" w:w="135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Pending</w:t>
            </w:r>
          </w:p>
        </w:tc>
        <w:tc>
          <w:tcPr>
            <w:tcW w:type="dxa" w:w="135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None until scored</w:t>
            </w:r>
          </w:p>
        </w:tc>
        <w:tc>
          <w:tcPr>
            <w:tcW w:type="dxa" w:w="13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No</w:t>
            </w:r>
          </w:p>
        </w:tc>
      </w:tr>
    </w:tbl>
    <w:p>
      <w:pPr>
        <w:pStyle w:val="FXHeading1"/>
        <w:keepNext/>
        <w:keepLines w:val="0"/>
        <w:widowControl/>
      </w:pPr>
      <w:r>
        <w:rPr>
          <w:rFonts w:ascii="Aptos" w:hAnsi="Aptos"/>
          <w:b w:val="0"/>
          <w:i w:val="0"/>
          <w:color w:val="000000"/>
          <w:sz w:val="21"/>
        </w:rPr>
        <w:t>17. Current Model Status — 4 August 2026 (v9.1 interpretation)</w:t>
      </w:r>
    </w:p>
    <w:p>
      <w:pPr>
        <w:pStyle w:val="FXBody"/>
        <w:keepLines w:val="0"/>
        <w:widowControl/>
        <w:spacing w:after="160" w:line="252" w:lineRule="auto"/>
        <w:jc w:val="both"/>
      </w:pPr>
      <w:r>
        <w:rPr>
          <w:rFonts w:ascii="Calibri" w:hAnsi="Calibri"/>
          <w:b w:val="0"/>
          <w:i w:val="0"/>
          <w:sz w:val="21"/>
        </w:rPr>
        <w:t>Fiscal-Watch verdict: contested, unchanged in activation status, and not falsified. DXY remains boundary/indeterminate; gold remains below its activation gate; the CDS point print is favorable but its required rolling median is unverified; and the corridor remains orderly. The user-defined Buffett–Gold scenario landmark is provisional and receives no gate credit. Post-reset BIST profit is indeterminate, and the private ₺3,000 ledger records an unallocated TL cash balance with ₺0 acquired-instrument exposure; the evidence ceiling remains Tier 1 — Survival.</w:t>
      </w:r>
    </w:p>
    <w:p>
      <w:pPr>
        <w:pStyle w:val="FXHeading1"/>
        <w:keepNext/>
        <w:keepLines w:val="0"/>
        <w:widowControl/>
      </w:pPr>
      <w:r>
        <w:rPr>
          <w:rFonts w:ascii="Aptos" w:hAnsi="Aptos"/>
          <w:b w:val="0"/>
          <w:i w:val="0"/>
          <w:color w:val="000000"/>
          <w:sz w:val="21"/>
        </w:rPr>
        <w:t>18. Conclusion</w:t>
      </w:r>
    </w:p>
    <w:p>
      <w:pPr>
        <w:pStyle w:val="FXBody"/>
        <w:keepLines w:val="0"/>
        <w:widowControl/>
        <w:spacing w:line="252" w:lineRule="auto"/>
      </w:pPr>
      <w:r>
        <w:rPr>
          <w:rFonts w:ascii="Calibri" w:hAnsi="Calibri"/>
          <w:b w:val="0"/>
          <w:i w:val="0"/>
          <w:sz w:val="21"/>
        </w:rPr>
        <w:t>v9.2 keeps what I am actually proposing: TRY protection, the trust stacks and a deliberate invitation to challenge. The observed FX ratio and my gold/Buffett gauges motivate the buffer hypothesis and the unbuffered shock experiment. They do not measure capture or price release by themselves. The audit finds a real reserve-revaluation mechanism, a credible conventional rival, unresolved transmission and implementation defects that can be repaired.</w:t>
      </w:r>
    </w:p>
    <w:p>
      <w:pPr>
        <w:pStyle w:val="FXBody"/>
        <w:keepLines w:val="0"/>
        <w:widowControl/>
        <w:spacing w:after="160" w:line="252" w:lineRule="auto"/>
        <w:jc w:val="both"/>
      </w:pPr>
      <w:r>
        <w:rPr>
          <w:rFonts w:ascii="Calibri" w:hAnsi="Calibri"/>
          <w:b w:val="0"/>
          <w:i w:val="0"/>
          <w:sz w:val="21"/>
        </w:rPr>
        <w:t>The Sentinel now keeps completed passages alongside the open entrances. If one mechanism survives, it earns support for that mechanism. Adverse results stay in the record. Sequence picks route hypotheses; balance sheets, realized flows and market capacity must establish the price. The evidence layer can start empty. Empirical confirmation cannot finish empty.</w:t>
      </w:r>
    </w:p>
    <w:p>
      <w:pPr>
        <w:pStyle w:val="FXHeading1"/>
        <w:keepNext/>
        <w:keepLines w:val="0"/>
        <w:widowControl/>
      </w:pPr>
      <w:r>
        <w:rPr>
          <w:rFonts w:ascii="Aptos" w:hAnsi="Aptos"/>
          <w:b w:val="0"/>
          <w:i w:val="0"/>
          <w:color w:val="000000"/>
          <w:sz w:val="21"/>
        </w:rPr>
        <w:t>Appendix A: Observable Engine and Scenario Boundaries (v9.0)</w:t>
      </w:r>
    </w:p>
    <w:p>
      <w:pPr>
        <w:pStyle w:val="FXBody"/>
        <w:keepLines w:val="0"/>
        <w:widowControl/>
        <w:spacing w:after="160" w:before="80" w:line="252" w:lineRule="auto"/>
        <w:ind w:left="360"/>
      </w:pPr>
      <w:r>
        <w:rPr>
          <w:rFonts w:ascii="Calibri" w:hAnsi="Calibri"/>
          <w:sz w:val="21"/>
        </w:rPr>
        <w:t>m_flow = documented captured eligible FX flows / total eligible FX inflows, same perimeter and window; otherwise indeterminate.</w:t>
      </w:r>
    </w:p>
    <w:p>
      <w:pPr>
        <w:pStyle w:val="FXBody"/>
        <w:keepLines w:val="0"/>
        <w:widowControl/>
        <w:spacing w:after="160" w:before="80" w:line="252" w:lineRule="auto"/>
        <w:ind w:left="360"/>
      </w:pPr>
      <w:r>
        <w:rPr>
          <w:rFonts w:ascii="Calibri" w:hAnsi="Calibri"/>
          <w:sz w:val="21"/>
        </w:rPr>
        <w:t>m_price = rolling median[FX(t−i) / FX_base], with pair, quote direction, baseline, window, and series declared.</w:t>
      </w:r>
    </w:p>
    <w:p>
      <w:pPr>
        <w:pStyle w:val="FXBody"/>
        <w:keepLines w:val="0"/>
        <w:widowControl/>
        <w:spacing w:after="160" w:before="80" w:line="252" w:lineRule="auto"/>
        <w:ind w:left="360"/>
      </w:pPr>
      <w:r>
        <w:rPr>
          <w:rFonts w:ascii="Calibri" w:hAnsi="Calibri"/>
          <w:sz w:val="21"/>
        </w:rPr>
        <w:t>m_policy = component ledger of intervention, swaps, corridor actions, sterilization, rates, macroprudential rules, and extraordinary liquidity; no scalar until normalized and validated.</w:t>
      </w:r>
    </w:p>
    <w:p>
      <w:pPr>
        <w:pStyle w:val="FXBody"/>
        <w:keepLines w:val="0"/>
        <w:widowControl/>
        <w:spacing w:after="160" w:before="80" w:line="252" w:lineRule="auto"/>
        <w:ind w:left="360"/>
      </w:pPr>
      <w:r>
        <w:rPr>
          <w:rFonts w:ascii="Calibri" w:hAnsi="Calibri"/>
          <w:b w:val="0"/>
          <w:i w:val="0"/>
          <w:sz w:val="21"/>
        </w:rPr>
        <w:t>m_release = future transmission operator; uncalibrated and non-operative in v9.0.</w:t>
      </w:r>
    </w:p>
    <w:p>
      <w:pPr>
        <w:pStyle w:val="FXBody"/>
        <w:keepLines w:val="0"/>
        <w:widowControl/>
        <w:spacing w:after="160" w:before="80" w:line="252" w:lineRule="auto"/>
        <w:ind w:left="360"/>
      </w:pPr>
      <w:r>
        <w:rPr>
          <w:rFonts w:ascii="Calibri" w:hAnsi="Calibri"/>
          <w:sz w:val="21"/>
        </w:rPr>
        <w:t>Route rule: sequence selects Orderly, Messy, or Unresolved / No Release; §6.2A balance-sheet and flow evidence is required to price any route.</w:t>
      </w:r>
    </w:p>
    <w:p>
      <w:pPr>
        <w:pStyle w:val="FXBody"/>
        <w:keepLines w:val="0"/>
        <w:widowControl/>
        <w:spacing w:after="160" w:before="80" w:line="252" w:lineRule="auto"/>
        <w:ind w:left="360"/>
      </w:pPr>
      <w:r>
        <w:rPr>
          <w:rFonts w:ascii="Calibri" w:hAnsi="Calibri"/>
          <w:sz w:val="21"/>
        </w:rPr>
        <w:t>Named hypotheses: 4–10 TRY per USD; 340–460+ TRY per USD; Buffett 240; gold near $9,826. None is fair value, true FX, forecast, or math-determined.</w:t>
      </w:r>
    </w:p>
    <w:p>
      <w:pPr>
        <w:pStyle w:val="FXBody"/>
        <w:keepLines w:val="0"/>
        <w:widowControl/>
        <w:spacing w:after="160" w:before="80" w:line="252" w:lineRule="auto"/>
        <w:ind w:left="360"/>
      </w:pPr>
      <w:r>
        <w:rPr>
          <w:rFonts w:ascii="Calibri" w:hAnsi="Calibri"/>
          <w:sz w:val="21"/>
        </w:rPr>
        <w:t>Legacy ΔFX ∝ m²: qualitative convexity warning only; no estimated exponent, coefficient, timing law, or endpoint authority.</w:t>
      </w:r>
    </w:p>
    <w:p>
      <w:pPr>
        <w:pStyle w:val="FXBody"/>
        <w:keepLines w:val="0"/>
        <w:widowControl/>
        <w:spacing w:after="160" w:before="80" w:line="252" w:lineRule="auto"/>
        <w:ind w:left="360"/>
      </w:pPr>
      <w:r>
        <w:rPr>
          <w:rFonts w:ascii="Calibri" w:cs="Consolas" w:eastAsia="Consolas" w:hAnsi="Calibri"/>
          <w:color w:val="3A0000"/>
          <w:sz w:val="21"/>
          <w:szCs w:val="20"/>
        </w:rPr>
        <w:t xml:space="preserve">y_mea = μ_cap(admin) · μ_cap(kinetic) · [ (Y_Sink − Y_Pool − ΔCDS) / (1 + cs(sink)) ]</w:t>
      </w:r>
    </w:p>
    <w:p>
      <w:pPr>
        <w:pStyle w:val="FXHeading1"/>
        <w:keepNext/>
        <w:keepLines w:val="0"/>
        <w:widowControl/>
      </w:pPr>
      <w:r>
        <w:rPr>
          <w:rFonts w:ascii="Aptos" w:hAnsi="Aptos"/>
          <w:b w:val="0"/>
          <w:i w:val="0"/>
          <w:color w:val="000000"/>
          <w:sz w:val="21"/>
        </w:rPr>
        <w:t>Appendix B: Milo Murphy Flexibility Modifier — Surviving Doctrine from v3.0 Forward</w:t>
      </w:r>
    </w:p>
    <w:p>
      <w:pPr>
        <w:pStyle w:val="FXBody"/>
        <w:keepLines w:val="0"/>
        <w:widowControl/>
        <w:spacing w:after="160" w:line="252" w:lineRule="auto"/>
        <w:jc w:val="both"/>
      </w:pPr>
      <w:r>
        <w:rPr>
          <w:rFonts w:ascii="Calibri" w:hAnsi="Calibri"/>
          <w:b w:val="0"/>
          <w:i w:val="0"/>
          <w:sz w:val="21"/>
        </w:rPr>
        <w:t>Milo Murphy entered around v3.0 as my intuitive fixed 10% allowance while the framework could not represent every branch and the trust layer was immature. It was never retired or reduced. The v9.1 ancestry correction restores that history. Its mature role is permanent: reality may produce something the framework has not represented at all. It cannot confirm, rescue, weight routes, calculate endpoints or swallow adverse evidence. Earlier retirement wording remains visible to the Version-History Tribunal as a classification error.</w:t>
      </w:r>
    </w:p>
    <w:p>
      <w:pPr>
        <w:pStyle w:val="FXHeading1"/>
        <w:keepNext/>
        <w:keepLines w:val="0"/>
        <w:widowControl/>
      </w:pPr>
      <w:r>
        <w:rPr>
          <w:color w:val="000000"/>
        </w:rPr>
        <w:t xml:space="preserve">Appendix C: Glossary of Core Variables (v7.6.2 Unified)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900"/>
        <w:gridCol w:w="7126"/>
      </w:tblGrid>
      <w:tr>
        <w:trPr>
          <w:tblHeader/>
          <w:tblHeade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Operator / term</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Definition (v7.6.2)</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αsar</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Owner-matched cumulative 12-month substitution amount times valid gamma, divided by net liquid FX reserves. Dimensionless only with compatible units. Unity is an inherited review landmark; current value indeterminate.</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γcap (signed)</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Policy Capitulation Vector: 1 − sgn(ΔR)·(ΔR/R₀)². Capitulation (&gt;1) on easing panics; dormant (≈1) on hold; suppression (&lt;1) on hiking.</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μcap(admin) / μcap(kinetic)</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Administrative and kinetic transmission conditions. Their effects depend on owner, transaction, settlement and sterilization; no automatic domestic-base sign or calibrated scalar is assumed.</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Ω</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Asset Substitution Matrix: rolling 12-month net outflow (USD bn) from G7-perimeter assets into metals, non-aligned trade assets, and MEA infrastructure. Measured via the four-leg decomposition of §4.6; reported as a range. Swap-line requests tracked separately.</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m_sar</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pPr>
            <w:r>
              <w:rPr>
                <w:rFonts w:ascii="Calibri" w:hAnsi="Calibri"/>
                <w:color w:val="222222"/>
                <w:sz w:val="18"/>
              </w:rPr>
              <w:t>Descriptive PPP-to-peg ratio with declared units and vintage; never an operative release multiplier.</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ymea</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Regional yield arbitrage vector; all terms decimal annual yield, ΔCDS in decimal.</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rPr>
              <w:t>m_flow / m_price / m_policy / m_release</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rPr>
              <w:t>Four separated variables (§2.1): documented captured-flow ratio; observed price displacement; component policy-intensity ledger; and an uncalibrated release operator. They may co-move but are never numerically equated. Corridor survival does not identify m_flow.</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Camp Inversion</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Numéraire inversion (§1.2): the TL is the forced stable anchor on an administered crawl; the USD is the floating distorted instrument priced against it. Partitions all signals into thesis (USD-side) and administration (TL-side) classes.</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Dual anchors</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color w:val="222222"/>
                <w:sz w:val="18"/>
              </w:rPr>
              <w:t>Named scenario hypotheses (§6.2): 4–10 TRY/USD and 340–460+ TRY/USD. Sequence may rank the route; only the fiscal transmission ledger may support pricing. Neither is fair value, true FX, forecast, or mathematically derived.</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Shadow peg</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rPr>
              <w:t>Doctrine of administered insulation: Türkiye contains part of external USD-side pressure through a controlled crawl. The divergence is a buffer hypothesis; its size and transmission require the observable engine and fiscal ledger (§1.1, §6.2A).</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CDS gate</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TRY 5y CDS &lt; 250 bp = institutional trust extended. Scored on 4-week rolling median (§6.5) to handle the oscillation regime. Administration-class row (§12.5): breach resizes, does not falsify.</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DXY gate</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Below 100 = systemic USD weakness. Falsified above 103 sustained 4+ weeks. Thesis-class row.</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Sovereignty Corridor (drift-adjusted)</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Trailing-12-month crawl path ±5% (~44–48, June 2026). Falsification is behavioural (panic spike), not positional (crawl drift). Administration-class row: panic breach = messy case arriving, not thesis failing (§12.5).</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Milo Murphy Flexibility Modifier — Invariant</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Permanent irreducible 10% allowance for a genuinely unmodelled event, actor, mechanism, or transmission path. Never reduced; never a route probability, endpoint term, known Null, confirmation device, or rescue clause. Earlier retirement labels are superseded ancestry errors corrected in v9.0.</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AND-Gate</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Falsification requires simultaneous breach of internally contradictory conditions; joint breach structurally negligible per §12.3; simultaneity derived from genesis per §5.1. Applies to thesis-class rows.</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Policy-Direction Gate</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Formerly Warsh Confirmation Lock. Fires on the first directional policy print under new Fed leadership (16–17 June 2026), interpreted per the pre-committed decision tree.</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Sequence Discipline (qualitative route selector)</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shd w:fill="FFFFFF"/>
          </w:tcPr>
          <w:p>
            <w:pPr>
              <w:pStyle w:val="FXTable"/>
              <w:keepNext w:val="0"/>
              <w:keepLines w:val="0"/>
              <w:spacing w:after="0"/>
              <w:jc w:val="left"/>
            </w:pPr>
            <w:r>
              <w:rPr>
                <w:rFonts w:ascii="Calibri" w:hAnsi="Calibri"/>
                <w:b w:val="0"/>
                <w:color w:val="222222"/>
                <w:sz w:val="18"/>
              </w:rPr>
              <w:t>Ordering evidence (§16.1): USD-side confirmation first raises the Orderly route's qualitative rank; corridor break first raises the Messy route's rank. It creates neither probability mass nor endpoint magnitude. Gold activation remains &gt; $4,200 on a 4-week rolling median.</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Revenue paradox</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Wartime decoupling of oil price and exportable volume channels; primary live stressor of the SAR sandbox.</w:t>
            </w:r>
          </w:p>
        </w:tc>
      </w:tr>
      <w:tr>
        <w:trPr>
          <w:cantSplit/>
        </w:trP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Optimum Devaluation Stage</w:t>
            </w:r>
          </w:p>
        </w:tc>
        <w:tc>
          <w:tcPr>
            <w:tcW w:type="dxa" w:w="71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Macro window where Stage-3 private liquidation, breaking labour market, and a 3–4% yield-destruction cycle align to break pegs and revalue compressed EM assets. Requires γcap capitulation regime; currently unarmed.</w:t>
            </w:r>
          </w:p>
        </w:tc>
      </w:tr>
    </w:tbl>
    <w:p>
      <w:pPr>
        <w:pStyle w:val="FXHeading1"/>
        <w:keepNext/>
        <w:keepLines w:val="0"/>
        <w:widowControl/>
      </w:pPr>
      <w:r>
        <w:rPr>
          <w:color w:val="000000"/>
        </w:rPr>
        <w:t xml:space="preserve">Version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900"/>
        <w:gridCol w:w="1500"/>
        <w:gridCol w:w="6626"/>
      </w:tblGrid>
      <w:tr>
        <w:trPr>
          <w:tblHeader/>
          <w:tblHeade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Version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Date</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17365D"/>
            <w:shd w:fill="17365D"/>
          </w:tcPr>
          <w:p>
            <w:pPr>
              <w:pStyle w:val="FXTable"/>
              <w:keepNext w:val="0"/>
              <w:keepLines w:val="0"/>
              <w:spacing w:after="40"/>
            </w:pPr>
            <w:r>
              <w:rPr>
                <w:rFonts w:ascii="Calibri" w:hAnsi="Calibri"/>
                <w:b/>
                <w:bCs/>
                <w:color w:val="FFFFFF"/>
                <w:sz w:val="18"/>
                <w:szCs w:val="18"/>
              </w:rPr>
              <w:t xml:space="preserve">Changes</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v5 / v6 / v6.2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Prior</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TRY corridor anomaly baseline; Japan+Turkey dual-signal; SNB triangulation; four-sided envelope formalised.</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v7.2 / v7.3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May 20,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Warsh confirmation lock; AND-gate contradiction proof via JGB data; m² scope clarification; Judo/BJJ architecture; institutional burnout mechanics.</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v7.4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Dec 2024 (data)</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Normalization patch: γcap, μcap, αsar, ymea operators; SAR peg decay; MEA two-tier corridor; BIST projections; glossary.</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v7.5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June 5,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Full synthesis of v7.3 trunk + v7.4 operators; unified notation; six-signal dashboard. NOTE: carried stale market prints (gold at January peak; DXY 98.05; CDS 208; static 38–42 corridor).</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v7.4-F5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June 10,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Operator repairs: signed γcap; dimensioned αsar; m_sar defined; μcap split; ymea unit normalisation; +100 bp falsification rail; June decision tree; data refresh.</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v7.6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June 10,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Unified master: v7.5 trunk + F5 repairs. Stale prints corrected; Sovereignty Corridor rebased as drift-adjusted band (spec error, not falsification); scenario taxonomy restructured (paths + Murphy overlay); Warsh Lock renamed Policy-Direction Gate with closure moved from confirmation to the June print; Ω measurement decomposition (§4.6) via envelope trust channels; trust-calibration oscillation treatment (§6.5); defensive architecture repositioned as adversarial stress-testing; convergence table upgraded to mechanism mapping; BIST ₺52 tn discontinuity assumption made explicit; swap-line flag added as seventh dashboard signal.</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v7.6.1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June 10,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Genesis Doctrine &amp; Sequence Discipline (point release; no operator, threshold, or dashboard change). §1.1 added: shadow peg as administered buffer against USD unanchoring — compression temporary by design; cs ≈ 0.90 reframed as corridor-survival stability condition (§6.2 derivation note). §5.1 added: four trigger conditions derived from genesis; AND-gate simultaneity shown principled rather than defensive; June print read as USD-side prop defence vs release. §16.1 added: sequence discipline — USD-side conditions must lead, corridor release must lag; corridor-first release flagged as burnout-driven regime-quality warning. Glossary updated (shadow peg, sequence discipline entries).</w:t>
            </w:r>
          </w:p>
        </w:tc>
      </w:tr>
      <w:tr>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v7.6.2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June 10,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rPr>
              <w:t>HISTORICAL CLAIM — SUPERSEDED IN v8.5. Camp Inversion &amp; Hostile-Review Closure (doctrine release; no threshold moves). Closes the June C6 review findings: §1.2 added — TL as forced stable anchor, USD as floating distorted instrument; observed rate reinterpreted as the broken dollar priced in the stable unit (numéraire inversion); null-model observational-equivalence residual logged honestly. Spring-direction contradiction (Attack 1) resolved via scenario-indexed dual anchors: 4–10 = designed exit vs re-anchored USD (orderly); 340–460+ = containment failure vs still-distorted USD (messy) — numéraire notes in §2.1, §6.2, Appendix A. Falsify-vs-deactivate ambiguity (Attack 2) resolved by two-class partition of §12.5: thesis rows (USD-side) falsify; administration rows (TL-side) resize — §15.2 exit rule partitioned to match. cs identification caveat (Attack 3) added: crawl pins a floor, parameter reported as 0.88–0.92 band. γcap observability (Attack 4) resolved by operator hierarchy: proxy primary, γcap measures policy violence (messy-case variable). 'Confirmation strength' (Attack 5) defined: gold &gt; $4,200 on 4-week rolling median, mirroring §6.5. §16.1 upgraded from warning rule to direction-selector: sequence of activation selects which anchor the release resolves toward. §12.6 direction note added: confirmation branch resolves toward 4–10 definitionally. Glossary updated (camp inversion, dual anchors, class tags on gates). v7.7 reserved for post-FOMC edition. Next quarterly review: September 5, 2026 — or immediately upon the June 17 print.</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v7.6.3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June 12,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July 1 Monetary Fork (insert release; no operator, threshold, doctrine, or probability changes). Adds §7A — state-level gold/silver legal-tender contagion as a legal-infrastructure catalyst on the gold proxy, anchored on Florida CS/HB 999 (operational July 1, 2026; 2026-session ratification cleared, verified). Separates the federal crypto-reserve narrative from state sound-money classification via the two-lane fork and classification trap (Article I §10 tender asymmetry). Defines July 1 as a deadline accelerator for the explanatory regime, not a price trigger. Adds the policy-premium trigger ladder (distorted-USD index per §1.2 dual-anchor convention; 4-week rolling-median confirmation per §6.5 treatment) and the State Contagion Counter as dashboard signal 8 (§16). Chapter-scoped falsification clause sits in the timing/catalyst class: breach reclassifies the layer as structural background and reverts to v7.6.2 behaviour; sole core-class row (DXY &gt; 103 sustained) supersedes the chapter entirely. §16.1 interaction logged: legal channel is a USD-side signal, reinforcing the USD-leads ordering. v7.7 remains reserved for the post-FOMC edition.</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v7.6.4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June 28,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Fort Knox Ratio Compression and Audit-Excuse Layer (insert release; no operator, threshold, doctrine, probability assessment, or core falsification rule is modified). Adds §7B — narrative-legitimacy and policy-cover layer adjacent to §7 and §7A. Models reserve-ratio compression from 3.49× to 2.32× China’s reported holdings under a deliverable-gold haircut scenario. Identifies three audit-narrative policy explanations (audit excuse, revaluation excuse, collateral-reset excuse) that allow gold revaluation to be framed as balance-sheet hygiene rather than dollar devaluation. Defines the Goldfinger inversion: the modern destabilising mechanism targets the confidence spread between official reserve numbers and deliverable collateral reality, not the physical vault. Adds the Audit/Revaluation Narrative Counter as a soft sub-signal under the gold proxy layer (event-driven; not a price trigger; not a standalone dashboard signal). Dashboard heading updated to nine signals. No threshold, DXY gate, CDS gate, corridor rule, or sequence discipline altered.</w:t>
            </w:r>
          </w:p>
        </w:tc>
      </w:tr>
      <w:tr>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v8.1.3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June 29,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rPr>
              <w:t>HISTORICAL CLAIM — SUPERSEDED IN v8.5. Shadow Multiple robustness revision (§2.1). Replaces brittle single-breakpoint spot ratio with regime-normalized displacement index: m_t = clip( median( FX_{t-i} / FX_base )_{i=0→n}, m_min, m_max ) · w_t. Key changes: FX_base is now the pre-decoupling median over a defined reference window, not a single-day close; smoothing window n = 20 trading days (4-week rolling), consistent with existing gold proxy and CDS rolling-median conventions; w_t is a near-binary regime dampener (1.0 in Stable_Regime_Band, 0.8 in Transition State) anchored to R(t) from §1.3, not a continuously floating parameter; clip bounds prevent pathological blowup. The structural identity m = 1/(1−cs) is preserved as the theoretical derivation. The operational formula governs observable computation. Direct observability of m is maintained — m remains an index, not a latent variable. No threshold, gate condition, scenario anchor, falsification rule, or other section is modified. §1.3.G added: Black Swan Frame Translation CNY → AED/SAR — first worked cross-frame example under black swan AND-gate conditions; demonstrates denomination-agnostic operator generalisability. Core Principle extended: entry currency stated explicitly as measurement choice, not structural assumption. Murphy Absorption Doctrine: Murphy Modifier retired; all shock classes absorbed by gate classification system (noise / data / transition signal / black swan / structural breakdown). Golden Dose reclassified as extreme messy-route review gate (§2.3A, §11.3); §11.2 restructured as Chaos Absorption. ECB negative rate episode 2014–2022 logged as corroborating negative-data case (§12.6): EUR-frame m-index returns sub-unity ratio forcing clip floor activation — classified as structural inversion; ymea destruction and Sequence Discipline violation confirmed retrospectively without model modification.</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v8.1.4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June 29,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Double-Blind Trust Stack and political thinker reference layer (insert release; no operator, threshold, or falsification rule modified). §6.4A added: twelve political and institutional thinkers organised across four independent theoretical traditions (compliance degradation: Olson, Scott, Hirschman; nonlinear release: Minsky, Kindleberger, Taleb; sovereign compression: Acemoglu, Hayek, Polanyi; political trust as macro variable: Fukuyama, Putnam, Weber). Double-blind validation note establishes that convergence across traditions answers the standing hostile question of why a macro FX model carries political mechanics. ECB negative-data case (§12.6) provides structural warrant for the trust stack’s load-bearing role. No operator, threshold, gate condition, or falsification rule modified.</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v8.1.5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b w:val="false"/>
                <w:bCs w:val="false"/>
                <w:color w:val="222222"/>
                <w:sz w:val="18"/>
                <w:szCs w:val="18"/>
              </w:rPr>
              <w:t xml:space="preserve">June 29,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rPr>
              <w:t>HISTORICAL CLAIM — SUPERSEDED IN v8.5. Audit discipline pass (data correction release; no operator, threshold, gate condition, or falsification rule modified). Gold price corrected from $4,092.59 to $3,973.79 (Reuters, 24 June 2026); revaluation multiple updated to ~94.6×. DXY 52-week range corrected from 95.55–100.64 to 95.55–101.80 (Reuters, 24 June 2026) — prior ceiling was below the current reading, a factual inconsistency. All remaining Murphy language swept: §1.3.G black swan definition, §9.5 Hormuz paragraph, §12.6 decision tree timing-extension row all updated to gate-state classification language. Investment section stop-loss language replaced with governance-grade exit rule: no mechanical stop-loss; exit governed by falsification rules, maximum drawdown budget, liquidity conditions, and thesis invalidation triggers (§12, §15.2). m Consistency Reconciliation note added (§2.1): m_flow, m_price, and m_operational formally distinguished; consistency in direction and theoretical role stated; magnitude divergence explained and acknowledged rather than papered over. Version title updated to v8.1.5. Version log rows added for v8.1.4 and v8.1.5.</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v8.1.6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29 June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Adversarial review integration (seven-fix release from Kimi 2K + Claude joint review, 29 June 2026). No core operator, threshold, gate condition, or falsification rule modified. Fixes: (1) Temporal Decay Boundary added — §12.5A. (2) Hard Gold Abandonment Condition added — §7.1. (3) BIST targets demoted — §14.2. (4) Double-blind language reframed — §6.4A. (5) R(t) circularity resolved — §2.1 + §16 Signal #10. (6) γcap observability discipline added — §2.5 + §16 Signal #11. (7) Corridor Quality Index added — §16 Signal #12. Version title updated to v8.1.6.</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v8.1.7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29 June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Dual-layer architecture patch (Co-Pilot C7→A* diagnostic pass, 29 June 2026). No core operator, threshold, gate condition, or falsification rule modified. All v8.1.6 gains preserved intact. Additions: §3A C7 Kernel; §3B A* Shell; layer separation language; Appendix D Universal Currency Entry Template; §1.3.G language updated. Version title updated to v8.1.7.</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v8.1.8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29 June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Resolution map and path allocation patch (GBT economic expert input, 29 June 2026). No core operator, threshold, gate condition, or falsification rule modified. All v8.1.7 architecture preserved. Additions: Kronk Heuristic named and inserted in §16.1 — the sequence discipline compressed to two sentences: wrong lever if TL-side containment breaks first (messy anchor, 340–460+); right lever if USD-side devalues first (orderly anchor, 4–10); same thesis, sequence is the entire routing decision. §15.3 Confidence and Path Allocation Table added — eight-row table formalising signal conditions as confidence adjustments and path allocation shifts: Rows 1–4 positive conditions (+10% to +20% each, orderly-path supporting); Rows 5–7 negative conditions (−15% to −20%, timing extension or resize signals); Row 8 sequence-determining row (Kronk wrong-lever: overall −10%, orderly −35% / messy +25%) — the only row that simultaneously updates both scenario branches in opposite directions, formalizing sequence discipline as probability mass shift. Usage discipline stated: confidence adjustments are additive, govern conviction sizing, do not override §12.5A Suspended Animation or §12.5 falsification. Row 8 is load-bearing note added explaining why it is different in kind from Rows 1–7. Version title updated to v8.1.8.</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v8.2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4 July 2026</w:t>
            </w:r>
          </w:p>
        </w:tc>
        <w:tc>
          <w:tcPr>
            <w:tcW w:type="dxa" w:w="6626"/>
            <w:tcBorders>
              <w:top w:val="single" w:color="CCCCCC" w:sz="1"/>
              <w:left w:val="single" w:color="CCCCCC" w:sz="1"/>
              <w:bottom w:val="single" w:color="CCCCCC" w:sz="1"/>
              <w:right w:val="single" w:color="CCCCCC" w:sz="1"/>
            </w:tcBorders>
            <w:tcMar>
              <w:top w:type="dxa" w:w="80"/>
              <w:left w:type="dxa" w:w="120"/>
              <w:bottom w:type="dxa" w:w="80"/>
              <w:right w:type="dxa" w:w="120"/>
            </w:tcMar>
            <w:shd w:fill="FFFFFF"/>
          </w:tcPr>
          <w:p>
            <w:pPr>
              <w:pStyle w:val="FXTable"/>
              <w:keepNext w:val="0"/>
              <w:keepLines w:val="0"/>
              <w:spacing w:after="40"/>
            </w:pPr>
            <w:r>
              <w:rPr>
                <w:rFonts w:ascii="Calibri" w:hAnsi="Calibri"/>
                <w:color w:val="222222"/>
                <w:sz w:val="18"/>
                <w:szCs w:val="18"/>
              </w:rPr>
              <w:t xml:space="preserve">Texas/New York Market-Structure Divergence Line (TMSD) added as new §3C, auxiliary market-structure diagnostic under C7 Kernel remit, following TXSE production launch (6 July 2026). Not a primary AND-gate trigger; does not modify DXY, gold, CDS, or corridor gates. Tracks TXSE symbol rollout velocity, consolidated-volume share, issuer adoption/migration, listing-economics spread versus NYSE/Nasdaq, and NYSE/Nasdaq defensive-response behaviour. Four-stage interpretation ladder (Inactive / Watch / Active / Red Alert); Red Alert requires a named causal thread linking TXSE adoption to independent stress (AI collateral drawdown, gold breakout) — temporal coincidence alone is insufficient. Structural dead zone through Q3 2026 acknowledged explicitly (ETP listings not until September 2026, corporate listings October 2026, IPOs Q1 2027); flat reading through this window is expected baseline, not noise misclassification. Falsification rule: if TXSE volume stays immaterial and NYSE/Nasdaq behaviour is unchanged, TMSD remains classified as narrative noise, auxiliary only. No core operator, threshold, gate condition, or falsification rule elsewhere in the framework modified. Version title updated to v8.2.</w:t>
            </w:r>
          </w:p>
        </w:tc>
      </w:tr>
      <w:tr>
        <w:trPr>
          <w:cantSplit/>
        </w:trPr>
        <w:tc>
          <w:tcPr>
            <w:tcW w:type="dxa" w:w="900"/>
            <w:vAlign w:val="center"/>
            <w:shd w:fill="FFFFFF"/>
          </w:tcPr>
          <w:p>
            <w:pPr>
              <w:pStyle w:val="FXTable"/>
              <w:keepNext w:val="0"/>
              <w:keepLines w:val="0"/>
            </w:pPr>
            <w:r>
              <w:rPr>
                <w:rFonts w:ascii="Calibri" w:hAnsi="Calibri"/>
                <w:b w:val="0"/>
                <w:color w:val="222222"/>
                <w:sz w:val="18"/>
              </w:rPr>
              <w:t>v8.3</w:t>
            </w:r>
          </w:p>
        </w:tc>
        <w:tc>
          <w:tcPr>
            <w:tcW w:type="dxa" w:w="1500"/>
            <w:vAlign w:val="center"/>
            <w:shd w:fill="FFFFFF"/>
          </w:tcPr>
          <w:p>
            <w:pPr>
              <w:pStyle w:val="FXTable"/>
              <w:keepNext w:val="0"/>
              <w:keepLines w:val="0"/>
            </w:pPr>
            <w:r>
              <w:rPr>
                <w:rFonts w:ascii="Calibri" w:hAnsi="Calibri"/>
                <w:b w:val="0"/>
                <w:color w:val="222222"/>
                <w:sz w:val="18"/>
              </w:rPr>
              <w:t>4 August 2026</w:t>
            </w:r>
          </w:p>
        </w:tc>
        <w:tc>
          <w:tcPr>
            <w:tcW w:type="dxa" w:w="6626"/>
            <w:vAlign w:val="center"/>
            <w:shd w:fill="FFFFFF"/>
          </w:tcPr>
          <w:p>
            <w:pPr>
              <w:pStyle w:val="FXTable"/>
              <w:keepNext w:val="0"/>
              <w:keepLines w:val="0"/>
            </w:pPr>
            <w:r>
              <w:rPr>
                <w:rFonts w:ascii="Calibri" w:hAnsi="Calibri"/>
                <w:b w:val="0"/>
                <w:color w:val="222222"/>
                <w:sz w:val="18"/>
              </w:rPr>
              <w:t>Fiscal-Watch and survivable-conviction edition. Live evidence refreshed; falsification Boolean reconciled; Murphy retirement completed; uncalibrated probabilities and additive confidence percentages retired; fractional-Kelly-inspired ordinal ladder added; private ₺3,000 worked example isolated; JPY/TRY arithmetic, Buffett diagnostic, November review window, series-definition discipline, twelve-signal dashboard, and evidence ledger added. Current verdict: contested, not activated, not falsified.</w:t>
            </w:r>
          </w:p>
        </w:tc>
      </w:tr>
      <w:tr>
        <w:trPr>
          <w:cantSplit/>
        </w:trPr>
        <w:tc>
          <w:tcPr>
            <w:tcW w:type="dxa" w:w="900"/>
            <w:vAlign w:val="center"/>
            <w:shd w:fill="FFFFFF"/>
          </w:tcPr>
          <w:p>
            <w:pPr>
              <w:pStyle w:val="FXTable"/>
              <w:keepNext w:val="0"/>
              <w:keepLines w:val="0"/>
              <w:spacing w:after="0"/>
              <w:jc w:val="left"/>
            </w:pPr>
            <w:r>
              <w:rPr>
                <w:rFonts w:ascii="Calibri" w:hAnsi="Calibri"/>
                <w:b w:val="0"/>
                <w:color w:val="222222"/>
                <w:sz w:val="18"/>
              </w:rPr>
              <w:t>v8.4</w:t>
            </w:r>
          </w:p>
        </w:tc>
        <w:tc>
          <w:tcPr>
            <w:tcW w:type="dxa" w:w="1500"/>
            <w:vAlign w:val="center"/>
            <w:shd w:fill="FFFFFF"/>
          </w:tcPr>
          <w:p>
            <w:pPr>
              <w:pStyle w:val="FXTable"/>
              <w:keepNext w:val="0"/>
              <w:keepLines w:val="0"/>
              <w:spacing w:after="0"/>
              <w:jc w:val="left"/>
            </w:pPr>
            <w:r>
              <w:rPr>
                <w:rFonts w:ascii="Calibri" w:hAnsi="Calibri"/>
                <w:b w:val="0"/>
                <w:color w:val="222222"/>
                <w:sz w:val="18"/>
              </w:rPr>
              <w:t>4 August 2026</w:t>
            </w:r>
          </w:p>
        </w:tc>
        <w:tc>
          <w:tcPr>
            <w:tcW w:type="dxa" w:w="6626"/>
            <w:vAlign w:val="center"/>
            <w:shd w:fill="FFFFFF"/>
          </w:tcPr>
          <w:p>
            <w:pPr>
              <w:pStyle w:val="FXTable"/>
              <w:keepNext w:val="0"/>
              <w:keepLines w:val="0"/>
              <w:spacing w:after="0"/>
              <w:jc w:val="left"/>
            </w:pPr>
            <w:r>
              <w:rPr>
                <w:rFonts w:ascii="Calibri" w:hAnsi="Calibri"/>
                <w:b w:val="0"/>
                <w:color w:val="222222"/>
                <w:sz w:val="18"/>
              </w:rPr>
              <w:t>Post-Reset Repricing and user-defined Buffett–Gold terminal-map repair. Retires unsupported BIST position-multiple outputs; separates reset, backlash, and compounding ledgers; records ₺3,000 as unallocated TL cash with ₺0 acquired-instrument exposure while the evidence ceiling remains Tier 1 — Survival; completes the Unresolved / No Release route; and limits Sequence Discipline to qualitative route ranking. Adds the provisional user-defined scenario coefficient (240% → 2.40×; ~$4,094 → an illustrative ~$9,826 map output) and retains 48/240 = 0.20 only as a dimensionally non-standard mnemonic correspondence. No activation or falsification threshold changed.</w:t>
            </w:r>
          </w:p>
        </w:tc>
      </w:tr>
      <w:tr>
        <w:trPr>
          <w:cantSplit/>
        </w:trPr>
        <w:tc>
          <w:tcPr>
            <w:tcW w:type="dxa" w:w="900"/>
            <w:shd w:fill="FFFFFF"/>
          </w:tcPr>
          <w:p>
            <w:pPr>
              <w:pStyle w:val="FXTable"/>
              <w:keepNext w:val="0"/>
              <w:keepLines w:val="0"/>
            </w:pPr>
            <w:r>
              <w:rPr>
                <w:rFonts w:ascii="Calibri" w:hAnsi="Calibri"/>
                <w:color w:val="222222"/>
                <w:sz w:val="18"/>
              </w:rPr>
              <w:t>v8.5</w:t>
            </w:r>
          </w:p>
        </w:tc>
        <w:tc>
          <w:tcPr>
            <w:tcW w:type="dxa" w:w="1500"/>
            <w:shd w:fill="FFFFFF"/>
          </w:tcPr>
          <w:p>
            <w:pPr>
              <w:pStyle w:val="FXTable"/>
              <w:keepNext w:val="0"/>
              <w:keepLines w:val="0"/>
            </w:pPr>
            <w:r>
              <w:rPr>
                <w:rFonts w:ascii="Calibri" w:hAnsi="Calibri"/>
                <w:color w:val="222222"/>
                <w:sz w:val="18"/>
              </w:rPr>
              <w:t>4 August 2026</w:t>
            </w:r>
          </w:p>
        </w:tc>
        <w:tc>
          <w:tcPr>
            <w:tcW w:type="dxa" w:w="6626"/>
            <w:shd w:fill="FFFFFF"/>
          </w:tcPr>
          <w:p>
            <w:pPr>
              <w:pStyle w:val="FXTable"/>
              <w:keepNext w:val="0"/>
              <w:keepLines w:val="0"/>
            </w:pPr>
            <w:r>
              <w:rPr>
                <w:rFonts w:ascii="Calibri" w:hAnsi="Calibri"/>
                <w:color w:val="222222"/>
                <w:sz w:val="18"/>
              </w:rPr>
              <w:t>Layer-separation repair. Retires the overloaded m and the claim of mathematical endpoint derivation; establishes m_flow, m_price, m_policy, and uncalibrated m_release; adds §6.2A fiscal transmission ledger; demotes 4–10, 340–460+, Buffett 240, and gold near $9,826 to named hypotheses; limits Sequence Discipline to route selection; makes ledger evidence responsible for route pricing; reclassifies Golden Dose as an extreme messy-route review gate. Core doctrine, C7 hostility, three-route map, and market falsification rights preserved.</w:t>
            </w:r>
          </w:p>
        </w:tc>
      </w:tr>
      <w:tr>
        <w:trPr>
          <w:cantSplit/>
        </w:trPr>
        <w:tc>
          <w:tcPr>
            <w:tcW w:type="dxa" w:w="9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v8.6</w:t>
            </w:r>
          </w:p>
        </w:tc>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4 Aug 2026</w:t>
            </w:r>
          </w:p>
        </w:tc>
        <w:tc>
          <w:tcPr>
            <w:tcW w:type="dxa" w:w="66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Identification &amp; Attribution Edition: Conventional Null, dual-entry C7, discrimination and gold-attribution ledgers, frozen prediction errors, historical mechanism tests, instrument transmission map, and heading repairs. No gate or route landmark changed.</w:t>
            </w:r>
          </w:p>
        </w:tc>
      </w:tr>
      <w:tr>
        <w:trPr>
          <w:cantSplit/>
        </w:trPr>
        <w:tc>
          <w:tcPr>
            <w:tcW w:type="dxa" w:w="9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v9.0</w:t>
            </w:r>
          </w:p>
        </w:tc>
        <w:tc>
          <w:tcPr>
            <w:tcW w:type="dxa" w:w="15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4 Aug 2026</w:t>
            </w:r>
          </w:p>
        </w:tc>
        <w:tc>
          <w:tcPr>
            <w:tcW w:type="dxa" w:w="66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Genesis Audit &amp; Chain-of-Custody Edition: preserves the 16 Aug 2025 Genesis Exhibit, separates institutional ownership, adds Corroborated Smoke as orthogonal metadata, installs the hindsight firewall, version-history tribunal, threshold genealogy, and historical audit dashboard. No gate, route landmark, endpoint hypothesis, or allocation permission changed.</w:t>
            </w:r>
          </w:p>
        </w:tc>
      </w:tr>
      <w:tr>
        <w:trPr>
          <w:cantSplit/>
        </w:trPr>
        <w:tc>
          <w:tcPr>
            <w:tcW w:type="dxa" w:w="900"/>
            <w:shd w:fill="FFFFFF"/>
          </w:tcPr>
          <w:p>
            <w:pPr>
              <w:pStyle w:val="FXTable"/>
              <w:keepNext w:val="0"/>
              <w:keepLines w:val="0"/>
            </w:pPr>
            <w:r>
              <w:rPr>
                <w:rFonts w:ascii="Calibri" w:hAnsi="Calibri"/>
                <w:color w:val="222222"/>
                <w:sz w:val="18"/>
              </w:rPr>
              <w:t>v9.2</w:t>
            </w:r>
          </w:p>
        </w:tc>
        <w:tc>
          <w:tcPr>
            <w:tcW w:type="dxa" w:w="1500"/>
            <w:shd w:fill="FFFFFF"/>
          </w:tcPr>
          <w:p>
            <w:pPr>
              <w:pStyle w:val="FXTable"/>
              <w:keepNext w:val="0"/>
              <w:keepLines w:val="0"/>
            </w:pPr>
            <w:r>
              <w:rPr>
                <w:rFonts w:ascii="Calibri" w:hAnsi="Calibri"/>
                <w:color w:val="222222"/>
                <w:sz w:val="18"/>
              </w:rPr>
              <w:t>8 September 2026</w:t>
            </w:r>
          </w:p>
        </w:tc>
        <w:tc>
          <w:tcPr>
            <w:tcW w:type="dxa" w:w="6626"/>
            <w:shd w:fill="FFFFFF"/>
          </w:tcPr>
          <w:p>
            <w:pPr>
              <w:pStyle w:val="FXTable"/>
              <w:keepNext w:val="0"/>
              <w:keepLines w:val="0"/>
            </w:pPr>
            <w:r>
              <w:rPr>
                <w:rFonts w:ascii="Calibri" w:hAnsi="Calibri"/>
                <w:color w:val="222222"/>
                <w:sz w:val="18"/>
              </w:rPr>
              <w:t>Sentinel audit executed; author intent restored; dynamic rounded Buffett reference, TRY-protection and 11-times hypothesis preserved; accidental sign/unit/attribution conflicts repaired. Primary thresholds unchanged. Current gate persistence indeterminate. See Appendix L for findings, evidence and repair register.</w:t>
            </w:r>
          </w:p>
        </w:tc>
      </w:tr>
    </w:tbl>
    <w:p>
      <w:pPr>
        <w:pStyle w:val="FXHeading1"/>
        <w:keepNext/>
        <w:keepLines w:val="0"/>
        <w:widowControl/>
      </w:pPr>
      <w:r>
        <w:rPr>
          <w:color w:val="000000"/>
        </w:rPr>
        <w:t xml:space="preserve">Appendix D: Universal Currency Entry Template (new in v8.1.7)</w:t>
      </w:r>
    </w:p>
    <w:p>
      <w:pPr>
        <w:pStyle w:val="FXBody"/>
        <w:keepLines w:val="0"/>
        <w:widowControl/>
        <w:spacing w:after="160" w:line="252" w:lineRule="auto"/>
        <w:jc w:val="both"/>
      </w:pPr>
      <w:r>
        <w:rPr>
          <w:rFonts w:ascii="Calibri" w:hAnsi="Calibri"/>
          <w:b w:val="0"/>
          <w:i w:val="0"/>
          <w:sz w:val="21"/>
        </w:rPr>
        <w:t>The universal-entry claim remains narrowed in v9.0.</w:t>
      </w:r>
    </w:p>
    <w:p>
      <w:pPr>
        <w:pStyle w:val="FXHeading2"/>
        <w:keepNext/>
        <w:keepLines w:val="0"/>
        <w:widowControl/>
      </w:pPr>
      <w:r>
        <w:rPr>
          <w:color w:val="000000"/>
        </w:rPr>
        <w:t xml:space="preserve">D.1 Required Inputs for Currency c</w:t>
      </w:r>
    </w:p>
    <w:p>
      <w:pPr>
        <w:pStyle w:val="FXBody"/>
        <w:keepLines w:val="0"/>
        <w:widowControl/>
        <w:spacing w:after="160" w:line="252" w:lineRule="auto"/>
        <w:jc w:val="both"/>
      </w:pPr>
      <w:r>
        <w:rPr>
          <w:rFonts w:ascii="Calibri" w:hAnsi="Calibri"/>
          <w:sz w:val="21"/>
        </w:rPr>
        <w:t>Required inputs: declared FX pair and baseline; documented eligible and captured-flow perimeter; intervention and policy operations; corridor rule and panic condition; credit proxy; central-bank reserves and encumbrances; swaps and contingent FX; Treasury flows; external-debt maturities; deposit dollarization; sterilization; banking exposures; capital flows; and market capacity. Optional commodity, gold, and safe-haven channels remain separate evidence layers.</w:t>
      </w:r>
    </w:p>
    <w:p>
      <w:pPr>
        <w:pStyle w:val="FXHeading2"/>
        <w:keepNext/>
        <w:keepLines w:val="0"/>
        <w:widowControl/>
      </w:pPr>
      <w:r>
        <w:rPr>
          <w:color w:val="000000"/>
        </w:rPr>
        <w:t xml:space="preserve">D.2 Computed Outputs</w:t>
      </w:r>
    </w:p>
    <w:p>
      <w:pPr>
        <w:pStyle w:val="FXBody"/>
        <w:keepLines w:val="0"/>
        <w:widowControl/>
        <w:spacing w:after="160" w:line="252" w:lineRule="auto"/>
        <w:jc w:val="both"/>
      </w:pPr>
      <w:r>
        <w:rPr>
          <w:rFonts w:ascii="Calibri" w:hAnsi="Calibri"/>
          <w:sz w:val="21"/>
        </w:rPr>
        <w:t>Report m_flow, m_price and the m_policy component ledger. m_release stays uncalibrated. We can classify gates, route ordering, evidence quality, falsification hooks and missing inputs. Currency-specific route probabilities or endpoints require a separately estimated and validated transmission function.</w:t>
      </w:r>
    </w:p>
    <w:p>
      <w:pPr>
        <w:pStyle w:val="FXHeading2"/>
        <w:keepNext/>
        <w:keepLines w:val="0"/>
        <w:widowControl/>
      </w:pPr>
      <w:r>
        <w:rPr>
          <w:color w:val="000000"/>
        </w:rPr>
        <w:t xml:space="preserve">D.3 Currency-Specific Handling Notes</w:t>
      </w:r>
    </w:p>
    <w:p>
      <w:pPr>
        <w:pStyle w:val="FXBody"/>
        <w:keepLines w:val="0"/>
        <w:widowControl/>
        <w:spacing w:after="160" w:line="252" w:lineRule="auto"/>
        <w:jc w:val="both"/>
      </w:pPr>
      <w:r>
        <w:rPr>
          <w:rFonts w:ascii="Calibri" w:hAnsi="Calibri"/>
          <w:sz w:val="21"/>
        </w:rPr>
        <w:t>TRY. Primary doctrine and calibration case. The corridor, reserve operations, swaps, deposits, sterilization, bank exposures, capital flows, and market capacity must be populated under §6.2A. The 4–10 and 340–460+ bands remain named hypotheses; no captured-flow ratio or endpoint is inferred from corridor survival.</w:t>
      </w:r>
    </w:p>
    <w:p>
      <w:pPr>
        <w:pStyle w:val="FXBody"/>
        <w:keepLines w:val="0"/>
        <w:widowControl/>
        <w:spacing w:after="160" w:line="252" w:lineRule="auto"/>
        <w:jc w:val="both"/>
      </w:pPr>
      <w:r>
        <w:rPr>
          <w:rFonts w:ascii="Calibri" w:hAnsi="Calibri"/>
          <w:sz w:val="21"/>
        </w:rPr>
        <w:t>SAR / AED (pegged-currency reserve-collateral logic). Hard-peg policy fixes the nominal rate; this does not by itself measure a captured-flow ratio. Compression is invisible until binary state transition. Primary outputs are the reserve/flow ledger, αsar (§2.4), and peg-defence cost ratio (PDCR, §1.3.G Path 3), not a universal displacement scalar. Corridor rule: nominal peg holds (SAR 3.75, AED 3.6725); falsification is αsar exceeding unity or speculative reserve drawdown accelerating beyond PDCR threshold. Under black swan conditions, compute αsar in both USD and CNY frames per §1.3.G and take the adverse reading. Currently dormant (αsar ≪ 1); C7 Kernel monitors PDCR and CNY-frame αsar independently.</w:t>
      </w:r>
    </w:p>
    <w:p>
      <w:pPr>
        <w:pStyle w:val="FXBody"/>
        <w:keepLines w:val="0"/>
        <w:widowControl/>
        <w:spacing w:after="160" w:line="252" w:lineRule="auto"/>
        <w:jc w:val="both"/>
      </w:pPr>
      <w:r>
        <w:rPr>
          <w:rFonts w:ascii="Calibri" w:hAnsi="Calibri"/>
          <w:b/>
          <w:bCs/>
          <w:sz w:val="21"/>
        </w:rPr>
        <w:t>JPY (sovereign-bond / yield and intervention control channel). JPY is not a compression-thesis entry point. On 4 August the 10-year JGB was approximately 2.84–2.86%, above the auxiliary 2.0% threshold. Japan and the United States had conducted coordinated yen-buying intervention, but the latest operation size awaited MOF disclosure; intervention does not prove net Treasury liquidation because repo/FIMA financing may avoid sales. Use MOF/TIC transaction data for any asset-sale claim. JPY/TRY cross-rates follow §2.9 and are translation surfaces, not devaluation proof.</w:t>
      </w:r>
      <w:r>
        <w:rPr>
          <w:rFonts w:ascii="Calibri" w:hAnsi="Calibri"/>
          <w:sz w:val="21"/>
        </w:rPr>
      </w:r>
    </w:p>
    <w:p>
      <w:pPr>
        <w:pStyle w:val="FXBody"/>
        <w:keepLines w:val="0"/>
        <w:widowControl/>
        <w:spacing w:after="160" w:line="252" w:lineRule="auto"/>
        <w:jc w:val="both"/>
      </w:pPr>
      <w:r>
        <w:rPr>
          <w:rFonts w:ascii="Calibri" w:hAnsi="Calibri"/>
          <w:sz w:val="21"/>
        </w:rPr>
        <w:t>CNY (commodity settlement, gold bridge, managed-band frame). Active measurement frame under §1.3 cross-frame invariance; not a primary compression entry point under normal R(t) conditions. CNY frame activates as independent measurement surface under black swan conditions per §1.3.G: oil settlement denomination, PBOC gold-buying XAU bridge, and MEA corridor settlement. D.2 outputs for CNY: αsar(CNY) computed per Paths 1–2 of §1.3.G; CNY-XAU premium spread monitored as early warning for gold frame isolation (§1.3.F). Under normal regime coherence, CNY is a passive evidence cross-check, not an active thesis driver.</w:t>
      </w:r>
    </w:p>
    <w:p>
      <w:pPr>
        <w:pStyle w:val="FXBody"/>
        <w:keepLines w:val="0"/>
        <w:widowControl/>
        <w:spacing w:after="160" w:line="252" w:lineRule="auto"/>
        <w:jc w:val="both"/>
      </w:pPr>
      <w:r>
        <w:rPr>
          <w:rFonts w:ascii="Calibri" w:hAnsi="Calibri"/>
          <w:sz w:val="21"/>
        </w:rPr>
        <w:t>CHF (safe-haven triangulation and control-frame logic). Not a compression entry point. CHF is the SNB triangulation benchmark (§4.5): unsterilised safe-haven flows into CHF establish a control frame immune to endogenous TRY-specific distortions. In the D.2 output structure, CHF produces a null-hypothesis channel: safe-haven flows into CHF that do not route into metals or MEA assets count against Ω (§4.6 CHF control leg), disciplining the Ω estimate. CHF has no documented shadow-capture ratio by default (fully floating, no shadow peg). CHF entry into the C7 Kernel is as a cross-validation channel: if CHF is strengthening while TRY CDS is rising and gold is falling, that is a risk-off rotation pattern, not USD re-anchoring — C7 flags the pattern for A* Shell classification.</w:t>
      </w:r>
    </w:p>
    <w:p>
      <w:pPr>
        <w:pStyle w:val="FXBody"/>
        <w:keepLines w:val="0"/>
        <w:widowControl/>
        <w:spacing w:after="160" w:line="252" w:lineRule="auto"/>
        <w:jc w:val="both"/>
      </w:pPr>
      <w:r>
        <w:rPr>
          <w:rFonts w:ascii="Calibri" w:hAnsi="Calibri"/>
          <w:sz w:val="21"/>
        </w:rPr>
        <w:t>EUR is a negative-rate and boundary comparison. The 2014–2022 episode can test prices, policy, flows and balance sheets without TRY-like containment. In v8.5, a clip floor or scalar index no longer gets to “prove inapplicability.” The observable vector and transmission ledger have to show which components are absent.</w:t>
      </w:r>
    </w:p>
    <w:p>
      <w:pPr>
        <w:pStyle w:val="FXHeading1"/>
        <w:keepNext/>
        <w:keepLines w:val="0"/>
        <w:widowControl/>
      </w:pPr>
      <w:r>
        <w:rPr>
          <w:color w:val="000000"/>
        </w:rPr>
        <w:t>Appendix E: Fiscal-Watch Evidence Ledger — 4 August 2026</w:t>
      </w:r>
    </w:p>
    <w:p>
      <w:pPr>
        <w:pStyle w:val="FXBody"/>
        <w:keepLines w:val="0"/>
        <w:widowControl/>
        <w:spacing w:line="252" w:lineRule="auto"/>
      </w:pPr>
      <w:r>
        <w:rPr>
          <w:rFonts w:ascii="Calibri" w:hAnsi="Calibri"/>
          <w:sz w:val="21"/>
        </w:rPr>
        <w:t>Series discipline. DXY: canonical ICE-DXY close series required for medians; observed market range around 100 on 4 August. Gold: choose one of LBMA PM, COMEX active-contract settlement, or another declared series; do not mix spot, CFD, and futures for persistence. TRY CDS: provider prints are delayed and not official intraday data. USD/TRY: use TCMB indicative rates for official reference and a named market feed for intraday behavior.</w:t>
      </w:r>
    </w:p>
    <w:p>
      <w:pPr>
        <w:pStyle w:val="FXBody"/>
        <w:keepLines w:val="0"/>
        <w:widowControl/>
        <w:spacing w:line="252" w:lineRule="auto"/>
      </w:pPr>
      <w:r>
        <w:rPr>
          <w:rFonts w:ascii="Calibri" w:hAnsi="Calibri"/>
          <w:sz w:val="21"/>
        </w:rPr>
        <w:t>Primary policy sources. Federal Reserve, FOMC statement and implementation note, 29 July 2026: https://www.federalreserve.gov/newsevents/pressreleases/monetary20260729a.htm and https://www.federalreserve.gov/newsevents/pressreleases/monetary20260729a1.htm. TCMB MPC decisions and calendar: https://www.tcmb.gov.tr/wps/wcm/connect/EN/TCMB%2BEN/MPC/MPC%2BMeeting%2BDecisions and https://www.tcmb.gov.tr/wps/wcm/connect/en/tcmb%2Ben/main%2Bmenu/announcements/calendar.</w:t>
      </w:r>
    </w:p>
    <w:p>
      <w:pPr>
        <w:pStyle w:val="FXBody"/>
        <w:keepLines w:val="0"/>
        <w:widowControl/>
        <w:spacing w:line="252" w:lineRule="auto"/>
      </w:pPr>
      <w:r>
        <w:rPr>
          <w:rFonts w:ascii="Calibri" w:hAnsi="Calibri"/>
          <w:sz w:val="21"/>
        </w:rPr>
        <w:t>Primary implementation sources. Japan MOF intervention releases: https://www.mof.go.jp/english/policy/international_policy/reference/feio/monthly/index.html. TXSE rollout and activation notices: https://www.txse.com/alerts/july-2026-symbol-rollout-schedule and https://www.txse.com/alerts/txse-production-launch-and-market-activation.</w:t>
      </w:r>
    </w:p>
    <w:p>
      <w:pPr>
        <w:pStyle w:val="FXBody"/>
        <w:keepLines w:val="0"/>
        <w:widowControl/>
        <w:spacing w:line="252" w:lineRule="auto"/>
      </w:pPr>
      <w:r>
        <w:rPr>
          <w:rFonts w:ascii="Calibri" w:hAnsi="Calibri"/>
          <w:sz w:val="21"/>
        </w:rPr>
        <w:t>Corroborating market/reporting sources. Reuters on PBOC gold reserves, 7 July 2026: https://www.reuters.com/world/asia-pacific/china-gold-reserves-rise-most-since-2023-even-bullion-tumbles-2026-07-07/. Reuters on yen intervention, 4 August 2026: https://www.reuters.com/world/asia-pacific/yen-clings-intervention-gains-traders-stay-alert-more-2026-08-04/. Market prints are time-sensitive and must be rechecked before any later persistence verdict.</w:t>
      </w:r>
    </w:p>
    <w:p>
      <w:pPr>
        <w:pStyle w:val="FXBody"/>
        <w:keepLines w:val="0"/>
        <w:widowControl/>
        <w:spacing w:line="252" w:lineRule="auto"/>
      </w:pPr>
      <w:r>
        <w:rPr>
          <w:rFonts w:ascii="Calibri" w:hAnsi="Calibri"/>
          <w:sz w:val="21"/>
        </w:rPr>
        <w:t>Classification boundary. Verified prints and operational facts are separated from credible signals, interpretations, expectations, and unverified claims. Missing data remain missing; auxiliary evidence cannot substitute for a primary gate. This ledger is evidence classification, not financial, legal, tax, accounting, or investment advice.</w:t>
      </w:r>
    </w:p>
    <w:p>
      <w:pPr>
        <w:pStyle w:val="FXHeading1"/>
        <w:keepNext/>
        <w:keepLines w:val="0"/>
        <w:widowControl/>
      </w:pPr>
      <w:r>
        <w:rPr>
          <w:rFonts w:ascii="Aptos" w:hAnsi="Aptos"/>
          <w:b w:val="0"/>
          <w:i w:val="0"/>
          <w:color w:val="000000"/>
          <w:sz w:val="21"/>
        </w:rPr>
        <w:t>Appendix F: Competing-Model Research Register (new in v8.6)</w:t>
      </w:r>
    </w:p>
    <w:p>
      <w:pPr>
        <w:pStyle w:val="FXHeading2"/>
        <w:keepNext/>
        <w:keepLines w:val="0"/>
        <w:widowControl/>
      </w:pPr>
      <w:r>
        <w:rPr>
          <w:rFonts w:ascii="Aptos" w:hAnsi="Aptos"/>
          <w:b w:val="0"/>
          <w:i w:val="0"/>
          <w:color w:val="000000"/>
          <w:sz w:val="21"/>
        </w:rPr>
        <w:t>F.1 Discrimination Register</w:t>
      </w:r>
    </w:p>
    <w:p>
      <w:pPr>
        <w:pStyle w:val="FXBody"/>
        <w:keepLines w:val="0"/>
        <w:widowControl/>
        <w:spacing w:line="252" w:lineRule="auto"/>
      </w:pPr>
      <w:r>
        <w:rPr>
          <w:rFonts w:ascii="Calibri" w:hAnsi="Calibri"/>
          <w:b w:val="0"/>
          <w:i w:val="0"/>
          <w:sz w:val="21"/>
        </w:rPr>
        <w:t>Required fields: observation/date/series; Inversion reading; strongest Null reading; declared discriminator; expected sign and horizon under each model; realized result; status; rule change or rescue clause; and route implication. Status vocabulary: Inversion-favoring, Null-favoring, Shared, Contradictory, or Not Yet Discriminated.</w:t>
      </w:r>
    </w:p>
    <w:p>
      <w:pPr>
        <w:pStyle w:val="FXHeading2"/>
        <w:keepNext/>
        <w:keepLines w:val="0"/>
        <w:widowControl/>
      </w:pPr>
      <w:r>
        <w:rPr>
          <w:rFonts w:ascii="Aptos" w:hAnsi="Aptos"/>
          <w:b w:val="0"/>
          <w:i w:val="0"/>
          <w:color w:val="000000"/>
          <w:sz w:val="21"/>
        </w:rPr>
        <w:t>F.2 Gold Attribution Register</w:t>
      </w:r>
    </w:p>
    <w:p>
      <w:pPr>
        <w:pStyle w:val="FXBody"/>
        <w:keepLines w:val="0"/>
        <w:widowControl/>
        <w:spacing w:line="252" w:lineRule="auto"/>
      </w:pPr>
      <w:r>
        <w:rPr>
          <w:rFonts w:ascii="Calibri" w:hAnsi="Calibri"/>
          <w:b w:val="0"/>
          <w:i w:val="0"/>
          <w:sz w:val="21"/>
        </w:rPr>
        <w:t>Record the price-threshold state separately from causal attribution. Required components: USD and real rates; official-sector purchases; ETF/futures/options positioning; physical and regional premiums; geopolitical and sanctions demand; lease/collateral/funding stress; reserve-diversification or monetary-credibility residual; attribution state; confidence; and missing evidence.</w:t>
      </w:r>
    </w:p>
    <w:p>
      <w:pPr>
        <w:pStyle w:val="FXHeading2"/>
        <w:keepNext/>
        <w:keepLines w:val="0"/>
        <w:widowControl/>
      </w:pPr>
      <w:r>
        <w:rPr>
          <w:rFonts w:ascii="Aptos" w:hAnsi="Aptos"/>
          <w:b w:val="0"/>
          <w:i w:val="0"/>
          <w:color w:val="000000"/>
          <w:sz w:val="21"/>
        </w:rPr>
        <w:t>F.3 Frozen Prediction-and-Error History</w:t>
      </w:r>
    </w:p>
    <w:p>
      <w:pPr>
        <w:pStyle w:val="FXBody"/>
        <w:keepLines w:val="0"/>
        <w:widowControl/>
        <w:spacing w:line="252" w:lineRule="auto"/>
      </w:pPr>
      <w:r>
        <w:rPr>
          <w:rFonts w:ascii="Calibri" w:hAnsi="Calibri"/>
          <w:b w:val="0"/>
          <w:i w:val="0"/>
          <w:sz w:val="21"/>
        </w:rPr>
        <w:t>Required fields: forecast vintage; Camp Inversion classification and prediction; Conventional Null classification and prediction; next observable; horizon; expected distinction; realized result; error class; route effect; definition change; horizon extension; rescue clause; and amendment vintage. No row is overwritten.</w:t>
      </w:r>
    </w:p>
    <w:p>
      <w:pPr>
        <w:pStyle w:val="FXHeading2"/>
        <w:keepNext/>
        <w:keepLines w:val="0"/>
        <w:widowControl/>
      </w:pPr>
      <w:r>
        <w:rPr>
          <w:rFonts w:ascii="Aptos" w:hAnsi="Aptos"/>
          <w:b w:val="0"/>
          <w:i w:val="0"/>
          <w:color w:val="000000"/>
          <w:sz w:val="21"/>
        </w:rPr>
        <w:t>F.4 Fiscal-Ledger Classification Sheet</w:t>
      </w:r>
    </w:p>
    <w:p>
      <w:pPr>
        <w:pStyle w:val="FXBody"/>
        <w:keepLines w:val="0"/>
        <w:widowControl/>
        <w:spacing w:line="252" w:lineRule="auto"/>
      </w:pPr>
      <w:r>
        <w:rPr>
          <w:rFonts w:ascii="Calibri" w:hAnsi="Calibri"/>
          <w:b w:val="0"/>
          <w:i w:val="0"/>
          <w:sz w:val="21"/>
        </w:rPr>
        <w:t>For every ledger row record owner, series/source, observation date, measured period, stock or flow, gross or net, currency/unit, valuation adjustment, revision status, sign convention, evidence class, containment-capacity effect, transmission direction, absorption-capacity effect, confidence, and data gap.</w:t>
      </w:r>
    </w:p>
    <w:p>
      <w:pPr>
        <w:pStyle w:val="FXHeading1"/>
        <w:keepNext/>
        <w:keepLines w:val="0"/>
        <w:widowControl/>
      </w:pPr>
      <w:r>
        <w:rPr>
          <w:rFonts w:ascii="Aptos" w:hAnsi="Aptos"/>
          <w:b w:val="0"/>
          <w:i w:val="0"/>
          <w:color w:val="000000"/>
          <w:sz w:val="21"/>
        </w:rPr>
        <w:t>Appendix G: Genesis Exhibit and Chain-of-Custody Record (new in v9.0)</w:t>
      </w:r>
    </w:p>
    <w:p>
      <w:pPr>
        <w:pStyle w:val="FXBody"/>
        <w:keepLines w:val="0"/>
        <w:widowControl/>
        <w:spacing w:line="252" w:lineRule="auto"/>
        <w:jc w:val="center"/>
      </w:pPr>
      <w:r>
        <w:rPr>
          <w:rFonts w:ascii="Calibri" w:hAnsi="Calibri"/>
          <w:b w:val="0"/>
          <w:i w:val="0"/>
          <w:sz w:val="21"/>
        </w:rPr>
      </w:r>
      <w:r>
        <w:rPr>
          <w:rFonts w:ascii="Calibri" w:hAnsi="Calibri"/>
          <w:sz w:val="21"/>
        </w:rPr>
        <w:drawing>
          <wp:inline xmlns:a="http://schemas.openxmlformats.org/drawingml/2006/main" xmlns:pic="http://schemas.openxmlformats.org/drawingml/2006/picture">
            <wp:extent cx="5989320" cy="3368992"/>
            <wp:docPr id="1" name="Picture 1" descr="Genesis Exhibit screenshot captured 16 August 2025 showing BITCOIN Act gold-certificate revaluation language in a YouTube presentation."/>
            <wp:cNvGraphicFramePr>
              <a:graphicFrameLocks noChangeAspect="1"/>
            </wp:cNvGraphicFramePr>
            <a:graphic>
              <a:graphicData uri="http://schemas.openxmlformats.org/drawingml/2006/picture">
                <pic:pic>
                  <pic:nvPicPr>
                    <pic:cNvPr id="0" name="Ekran görüntüsü 2025-08-16 163027.png"/>
                    <pic:cNvPicPr/>
                  </pic:nvPicPr>
                  <pic:blipFill>
                    <a:blip r:embed="rId10"/>
                    <a:stretch>
                      <a:fillRect/>
                    </a:stretch>
                  </pic:blipFill>
                  <pic:spPr>
                    <a:xfrm>
                      <a:off x="0" y="0"/>
                      <a:ext cx="5989320" cy="3368992"/>
                    </a:xfrm>
                    <a:prstGeom prst="rect"/>
                  </pic:spPr>
                </pic:pic>
              </a:graphicData>
            </a:graphic>
          </wp:inline>
        </w:drawing>
      </w:r>
    </w:p>
    <w:p>
      <w:pPr>
        <w:pStyle w:val="FXBody"/>
        <w:keepLines w:val="0"/>
        <w:widowControl/>
        <w:spacing w:line="252" w:lineRule="auto"/>
      </w:pPr>
      <w:r>
        <w:rPr>
          <w:rFonts w:ascii="Calibri" w:hAnsi="Calibri"/>
          <w:b w:val="0"/>
          <w:i/>
          <w:sz w:val="21"/>
        </w:rPr>
        <w:t>Genesis Exhibit G-1 is the screenshot preserved on 16 August 2025. It records my encounter with the mechanism. It does not establish final source authority, legislative status, Federal Reserve endorsement or implementation.</w:t>
      </w:r>
    </w:p>
    <w:p>
      <w:pPr>
        <w:pStyle w:val="FXBody"/>
        <w:keepLines w:val="0"/>
        <w:widowControl/>
        <w:spacing w:line="252" w:lineRule="auto"/>
      </w:pPr>
      <w:r>
        <w:rPr>
          <w:rFonts w:ascii="Calibri" w:hAnsi="Calibri"/>
          <w:b w:val="0"/>
          <w:i w:val="0"/>
          <w:sz w:val="21"/>
        </w:rPr>
        <w:t>Chain-of-custody classification</w:t>
      </w:r>
    </w:p>
    <w:p>
      <w:pPr>
        <w:pStyle w:val="FXBody"/>
        <w:keepLines w:val="0"/>
        <w:widowControl/>
        <w:spacing w:line="252" w:lineRule="auto"/>
      </w:pPr>
      <w:r>
        <w:rPr>
          <w:rFonts w:ascii="Calibri" w:hAnsi="Calibri"/>
          <w:b w:val="0"/>
          <w:i w:val="0"/>
          <w:sz w:val="21"/>
        </w:rPr>
        <w:t>The weapon was real; discharge, motive, and culprit remain separate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1900"/>
        <w:gridCol w:w="7126"/>
      </w:tblGrid>
      <w:tr>
        <w:trPr>
          <w:tblHeader w:val="true"/>
          <w:tblHeader/>
          <w:cantSplit/>
        </w:trPr>
        <w:tc>
          <w:tcPr>
            <w:tcW w:type="dxa" w:w="19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Field</w:t>
            </w:r>
          </w:p>
        </w:tc>
        <w:tc>
          <w:tcPr>
            <w:tcW w:type="dxa" w:w="71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Record</w:t>
            </w:r>
          </w:p>
        </w:tc>
      </w:tr>
      <w:tr>
        <w:trPr>
          <w:cantSplit/>
        </w:trPr>
        <w:tc>
          <w:tcPr>
            <w:tcW w:type="dxa" w:w="19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Exhibit ID / date</w:t>
            </w:r>
          </w:p>
        </w:tc>
        <w:tc>
          <w:tcPr>
            <w:tcW w:type="dxa" w:w="7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G-1 / 16 August 2025</w:t>
            </w:r>
          </w:p>
        </w:tc>
      </w:tr>
      <w:tr>
        <w:trPr>
          <w:cantSplit/>
        </w:trPr>
        <w:tc>
          <w:tcPr>
            <w:tcW w:type="dxa" w:w="19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Displayed framing</w:t>
            </w:r>
          </w:p>
        </w:tc>
        <w:tc>
          <w:tcPr>
            <w:tcW w:type="dxa" w:w="7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YouTube presentation: “Now the Fed is Talking about Gold Revaluation”</w:t>
            </w:r>
          </w:p>
        </w:tc>
      </w:tr>
      <w:tr>
        <w:trPr>
          <w:cantSplit/>
        </w:trPr>
        <w:tc>
          <w:tcPr>
            <w:tcW w:type="dxa" w:w="19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Underlying document</w:t>
            </w:r>
          </w:p>
        </w:tc>
        <w:tc>
          <w:tcPr>
            <w:tcW w:type="dxa" w:w="7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BITCOIN Act legislative text; 2025 S.954 / H.R.2032 mechanism</w:t>
            </w:r>
          </w:p>
        </w:tc>
      </w:tr>
      <w:tr>
        <w:trPr>
          <w:cantSplit/>
        </w:trPr>
        <w:tc>
          <w:tcPr>
            <w:tcW w:type="dxa" w:w="19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Institutional ownership</w:t>
            </w:r>
          </w:p>
        </w:tc>
        <w:tc>
          <w:tcPr>
            <w:tcW w:type="dxa" w:w="7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Congressional sponsors; Federal Reserve staff separately analysed the mechanism class</w:t>
            </w:r>
          </w:p>
        </w:tc>
      </w:tr>
      <w:tr>
        <w:trPr>
          <w:cantSplit/>
        </w:trPr>
        <w:tc>
          <w:tcPr>
            <w:tcW w:type="dxa" w:w="19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Status at encounter</w:t>
            </w:r>
          </w:p>
        </w:tc>
        <w:tc>
          <w:tcPr>
            <w:tcW w:type="dxa" w:w="7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Introduced legislation; not enacted or implemented</w:t>
            </w:r>
          </w:p>
        </w:tc>
      </w:tr>
      <w:tr>
        <w:trPr>
          <w:cantSplit/>
        </w:trPr>
        <w:tc>
          <w:tcPr>
            <w:tcW w:type="dxa" w:w="19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Observed mechanism</w:t>
            </w:r>
          </w:p>
        </w:tc>
        <w:tc>
          <w:tcPr>
            <w:tcW w:type="dxa" w:w="7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Fair-market-value gold certificates → Treasury remittance → Bitcoin purchases → excess debt reduction</w:t>
            </w:r>
          </w:p>
        </w:tc>
      </w:tr>
      <w:tr>
        <w:trPr>
          <w:cantSplit/>
        </w:trPr>
        <w:tc>
          <w:tcPr>
            <w:tcW w:type="dxa" w:w="19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Later correction</w:t>
            </w:r>
          </w:p>
        </w:tc>
        <w:tc>
          <w:tcPr>
            <w:tcW w:type="dxa" w:w="7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Fed staff research ≠ Fed Board policy; executive reserve policy ≠ gold-revaluation enactment</w:t>
            </w:r>
          </w:p>
        </w:tc>
      </w:tr>
      <w:tr>
        <w:trPr>
          <w:cantSplit/>
        </w:trPr>
        <w:tc>
          <w:tcPr>
            <w:tcW w:type="dxa" w:w="19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Current classification</w:t>
            </w:r>
          </w:p>
        </w:tc>
        <w:tc>
          <w:tcPr>
            <w:tcW w:type="dxa" w:w="71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Corroborated Smoke + Shared Attribution + Inactive Mechanism</w:t>
            </w:r>
          </w:p>
        </w:tc>
      </w:tr>
    </w:tbl>
    <w:p>
      <w:pPr>
        <w:pStyle w:val="FXHeading1"/>
        <w:keepNext/>
        <w:keepLines w:val="0"/>
        <w:widowControl/>
      </w:pPr>
      <w:r>
        <w:rPr>
          <w:rFonts w:ascii="Aptos" w:hAnsi="Aptos"/>
          <w:b w:val="0"/>
          <w:i w:val="0"/>
          <w:color w:val="000000"/>
          <w:sz w:val="21"/>
        </w:rPr>
        <w:t>Appendix H: Version-History and Mutation Register (new in v9.0)</w:t>
      </w:r>
    </w:p>
    <w:p>
      <w:pPr>
        <w:pStyle w:val="FXBody"/>
        <w:keepLines w:val="0"/>
        <w:widowControl/>
        <w:spacing w:line="252" w:lineRule="auto"/>
      </w:pPr>
      <w:r>
        <w:rPr>
          <w:rFonts w:ascii="Calibri" w:hAnsi="Calibri"/>
          <w:b w:val="0"/>
          <w:i w:val="0"/>
          <w:sz w:val="21"/>
        </w:rPr>
        <w:t>For each recovered version, record version/date, provenance strength, its information set, exact claim and type, prospective discriminator/horizon, outcome, institutional owner, both camps' readings, error class, next-version mutation, rescue clause or horizon extension, surviving content and verdict. Use recovered originals only. The current workspace lacks a complete v1.0–v8.3 archive. Those rows remain provenance gaps until the sources are supplied.</w:t>
      </w:r>
    </w:p>
    <w:p>
      <w:pPr>
        <w:pStyle w:val="FXHeading1"/>
        <w:keepNext/>
        <w:keepLines w:val="0"/>
        <w:widowControl/>
      </w:pPr>
      <w:r>
        <w:rPr>
          <w:rFonts w:ascii="Aptos" w:hAnsi="Aptos"/>
          <w:b w:val="0"/>
          <w:i w:val="0"/>
          <w:color w:val="000000"/>
          <w:sz w:val="21"/>
        </w:rPr>
        <w:t>Appendix I: Threshold Genealogy and Claim Provenance (new in v9.0)</w:t>
      </w:r>
    </w:p>
    <w:p>
      <w:pPr>
        <w:pStyle w:val="FXBody"/>
        <w:keepLines w:val="0"/>
        <w:widowControl/>
        <w:spacing w:line="252" w:lineRule="auto"/>
      </w:pPr>
      <w:r>
        <w:rPr>
          <w:rFonts w:ascii="Calibri" w:hAnsi="Calibri"/>
          <w:b w:val="0"/>
          <w:i w:val="0"/>
          <w:sz w:val="21"/>
        </w:rPr>
        <w:t>Every threshold and landmark that carries weight needs its ancestry: first appearance, original wording and derivation, exposure to prior data, later changes, persistence definition and current evidential status. Scenario landmarks stay outside activation equations.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val="true"/>
          <w:tblHeader/>
          <w:cantSplit/>
        </w:trPr>
        <w:tc>
          <w:tcPr>
            <w:tcW w:type="dxa" w:w="2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Object</w:t>
            </w:r>
          </w:p>
        </w:tc>
        <w:tc>
          <w:tcPr>
            <w:tcW w:type="dxa" w:w="3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Genealogy fields required</w:t>
            </w:r>
          </w:p>
        </w:tc>
        <w:tc>
          <w:tcPr>
            <w:tcW w:type="dxa" w:w="40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Current v9.0 authority</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DXY / gold / CDS / corridor gates</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First version; source series; operator; persistence; later changes</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Inherited gates; unchanged by v9.0</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4–10 TRY/USD</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First wording; independent derivation status; route assignment</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Named orderly-route hypothesis</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340–460+ TRY/USD</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First wording; independent derivation status; route assignment</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Named messy-route stress hypothesis</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Buffett 240</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Data vintage; user convention; dimensional treatment</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Named user-defined coefficient/mnemonic</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Gold near $9,826</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Reference price/date; arithmetic; transmission evidence</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Named illustrative scenario hypothesis</w:t>
            </w:r>
          </w:p>
        </w:tc>
      </w:tr>
    </w:tbl>
    <w:p>
      <w:pPr>
        <w:pStyle w:val="FXHeading1"/>
        <w:keepNext/>
        <w:keepLines w:val="0"/>
        <w:widowControl/>
      </w:pPr>
      <w:r>
        <w:rPr>
          <w:rFonts w:ascii="Aptos" w:hAnsi="Aptos"/>
          <w:b w:val="0"/>
          <w:i w:val="0"/>
          <w:color w:val="000000"/>
          <w:sz w:val="21"/>
        </w:rPr>
        <w:t>Appendix J: Genesis Primary-Source Register (new in v9.0)</w:t>
      </w:r>
    </w:p>
    <w:p>
      <w:pPr>
        <w:pStyle w:val="FXBody"/>
        <w:keepLines w:val="0"/>
        <w:widowControl/>
        <w:spacing w:line="252" w:lineRule="auto"/>
      </w:pPr>
      <w:r>
        <w:rPr>
          <w:rFonts w:ascii="Calibri" w:hAnsi="Calibri"/>
          <w:b w:val="0"/>
          <w:i w:val="0"/>
          <w:sz w:val="21"/>
        </w:rPr>
        <w:t>Accessed for the v9.0 audit on 4 August 2026. Official publication date, discovery date, measured period, and audit-access date remain separate fields.</w:t>
      </w:r>
    </w:p>
    <w:p>
      <w:pPr>
        <w:pStyle w:val="FXBody"/>
        <w:keepLines w:val="0"/>
        <w:widowControl/>
        <w:numPr>
          <w:ilvl w:val="0"/>
          <w:numId w:val="2"/>
        </w:numPr>
        <w:spacing w:after="100" w:line="252" w:lineRule="auto"/>
        <w:jc w:val="both"/>
      </w:pPr>
      <w:r>
        <w:rPr>
          <w:rFonts w:ascii="Calibri" w:hAnsi="Calibri"/>
          <w:b w:val="0"/>
          <w:i w:val="0"/>
          <w:sz w:val="21"/>
        </w:rPr>
        <w:t>S.954 official text: https://www.govinfo.gov/content/pkg/BILLS-119s954is/html/BILLS-119s954is.htm</w:t>
      </w:r>
    </w:p>
    <w:p>
      <w:pPr>
        <w:pStyle w:val="FXBody"/>
        <w:keepLines w:val="0"/>
        <w:widowControl/>
        <w:numPr>
          <w:ilvl w:val="0"/>
          <w:numId w:val="2"/>
        </w:numPr>
        <w:spacing w:after="100" w:line="252" w:lineRule="auto"/>
        <w:jc w:val="both"/>
      </w:pPr>
      <w:r>
        <w:rPr>
          <w:rFonts w:ascii="Calibri" w:hAnsi="Calibri"/>
          <w:b w:val="0"/>
          <w:i w:val="0"/>
          <w:sz w:val="21"/>
        </w:rPr>
        <w:t>H.R.2032 official text: https://www.govinfo.gov/content/pkg/BILLS-119hr2032ih/html/BILLS-119hr2032ih.htm</w:t>
      </w:r>
    </w:p>
    <w:p>
      <w:pPr>
        <w:pStyle w:val="FXBody"/>
        <w:keepLines w:val="0"/>
        <w:widowControl/>
        <w:numPr>
          <w:ilvl w:val="0"/>
          <w:numId w:val="2"/>
        </w:numPr>
        <w:spacing w:after="100" w:line="252" w:lineRule="auto"/>
        <w:jc w:val="both"/>
      </w:pPr>
      <w:r>
        <w:rPr>
          <w:rFonts w:ascii="Calibri" w:hAnsi="Calibri"/>
          <w:b w:val="0"/>
          <w:i w:val="0"/>
          <w:sz w:val="21"/>
        </w:rPr>
        <w:t>Federal Reserve staff FEDS Note, 1 August 2025: https://www.federalreserve.gov/econres/notes/feds-notes/official-reserve-revaluations-the-international-experience-20250801.html</w:t>
      </w:r>
    </w:p>
    <w:p>
      <w:pPr>
        <w:pStyle w:val="FXBody"/>
        <w:keepLines w:val="0"/>
        <w:widowControl/>
        <w:numPr>
          <w:ilvl w:val="0"/>
          <w:numId w:val="2"/>
        </w:numPr>
        <w:spacing w:after="100" w:line="252" w:lineRule="auto"/>
        <w:jc w:val="both"/>
      </w:pPr>
      <w:r>
        <w:rPr>
          <w:rFonts w:ascii="Calibri" w:hAnsi="Calibri"/>
          <w:b w:val="0"/>
          <w:i w:val="0"/>
          <w:sz w:val="21"/>
        </w:rPr>
        <w:t>White House Executive Order 14233, 6 March 2025: https://www.whitehouse.gov/presidential-actions/2025/03/establishment-of-the-strategic-bitcoin-reserve-and-united-states-digital-asset-stockpile/</w:t>
      </w:r>
    </w:p>
    <w:p>
      <w:pPr>
        <w:pStyle w:val="FXBody"/>
        <w:keepLines w:val="0"/>
        <w:widowControl/>
        <w:numPr>
          <w:ilvl w:val="0"/>
          <w:numId w:val="2"/>
        </w:numPr>
        <w:spacing w:after="100" w:line="252" w:lineRule="auto"/>
        <w:jc w:val="both"/>
      </w:pPr>
      <w:r>
        <w:rPr>
          <w:rFonts w:ascii="Calibri" w:hAnsi="Calibri"/>
          <w:b w:val="0"/>
          <w:i w:val="0"/>
          <w:sz w:val="21"/>
        </w:rPr>
        <w:t>Federal Reserve balance-sheet developments, November 2025: https://www.federalreserve.gov/monetarypolicy/November-2025-Federal-Reserve-Balance-Sheet-Developments.htm</w:t>
      </w:r>
    </w:p>
    <w:p>
      <w:pPr>
        <w:pStyle w:val="FXBody"/>
        <w:keepLines w:val="0"/>
        <w:widowControl/>
        <w:numPr>
          <w:ilvl w:val="0"/>
          <w:numId w:val="2"/>
        </w:numPr>
        <w:spacing w:after="100" w:line="252" w:lineRule="auto"/>
        <w:jc w:val="both"/>
      </w:pPr>
      <w:r>
        <w:rPr>
          <w:rFonts w:ascii="Calibri" w:hAnsi="Calibri"/>
          <w:b w:val="0"/>
          <w:i w:val="0"/>
          <w:sz w:val="21"/>
        </w:rPr>
        <w:t>Treasury FY2025 gold accounting note: https://fiscal.treasury.gov/system/files/2026-04/2025-note-2-financial-statements.pdf</w:t>
      </w:r>
    </w:p>
    <w:p>
      <w:pPr>
        <w:pStyle w:val="FXHeading1"/>
        <w:keepNext/>
        <w:keepLines w:val="0"/>
        <w:widowControl/>
      </w:pPr>
      <w:r>
        <w:rPr>
          <w:rFonts w:ascii="Aptos" w:hAnsi="Aptos"/>
          <w:b w:val="0"/>
          <w:i w:val="0"/>
          <w:color w:val="000000"/>
          <w:sz w:val="21"/>
        </w:rPr>
        <w:t>Appendix K: Reflexive Containment and Market-Structure Register (new in v9.1)</w:t>
      </w:r>
    </w:p>
    <w:p>
      <w:pPr>
        <w:pStyle w:val="FXBody"/>
        <w:keepLines w:val="0"/>
        <w:widowControl/>
        <w:spacing w:line="252" w:lineRule="auto"/>
      </w:pPr>
      <w:r>
        <w:rPr>
          <w:rFonts w:ascii="Calibri" w:hAnsi="Calibri"/>
          <w:b w:val="0"/>
          <w:i w:val="0"/>
          <w:sz w:val="21"/>
        </w:rPr>
        <w:t>For each cycle, record the declared gold benchmark and timestamp; statutory valuation; D_floor; Buffett scenario coefficient and vintage; observed USD/TRY quote and direction; transformed scenario quote; reciprocal; visibility evidence; behavioural flows; policy response; market-capacity evidence; model-space status; Null reading; and falsifier. No row may omit units or convert a scenario transformation into fair value.</w:t>
      </w:r>
    </w:p>
    <w:p>
      <w:pPr>
        <w:pStyle w:val="FXBody"/>
        <w:keepLines w:val="0"/>
        <w:widowControl/>
        <w:spacing w:line="252" w:lineRule="auto"/>
      </w:pPr>
      <w:r>
        <w:rPr>
          <w:rFonts w:ascii="Calibri" w:hAnsi="Calibri"/>
          <w:b w:val="0"/>
          <w:i w:val="0"/>
          <w:sz w:val="21"/>
        </w:rPr>
        <w:t>v9.1 primary sources and status references</w:t>
      </w:r>
    </w:p>
    <w:p>
      <w:pPr>
        <w:pStyle w:val="FXBody"/>
        <w:keepLines w:val="0"/>
        <w:widowControl/>
        <w:numPr>
          <w:ilvl w:val="0"/>
          <w:numId w:val="2"/>
        </w:numPr>
        <w:spacing w:after="100" w:line="252" w:lineRule="auto"/>
        <w:jc w:val="both"/>
      </w:pPr>
      <w:r>
        <w:rPr>
          <w:rFonts w:ascii="Calibri" w:hAnsi="Calibri"/>
          <w:b w:val="0"/>
          <w:i w:val="0"/>
          <w:sz w:val="21"/>
        </w:rPr>
        <w:t>31 U.S.C. §5117(b), statutory gold-certificate valuation framework.</w:t>
      </w:r>
    </w:p>
    <w:p>
      <w:pPr>
        <w:pStyle w:val="FXBody"/>
        <w:keepLines w:val="0"/>
        <w:widowControl/>
        <w:numPr>
          <w:ilvl w:val="0"/>
          <w:numId w:val="2"/>
        </w:numPr>
        <w:spacing w:after="100" w:line="252" w:lineRule="auto"/>
        <w:jc w:val="both"/>
      </w:pPr>
      <w:r>
        <w:rPr>
          <w:rFonts w:ascii="Calibri" w:hAnsi="Calibri"/>
          <w:b w:val="0"/>
          <w:i w:val="0"/>
          <w:sz w:val="21"/>
        </w:rPr>
        <w:t>US Treasury FY2025 Financial Report, Note 2, official gold ounces and statutory carrying value.</w:t>
      </w:r>
    </w:p>
    <w:p>
      <w:pPr>
        <w:pStyle w:val="FXBody"/>
        <w:keepLines w:val="0"/>
        <w:widowControl/>
        <w:numPr>
          <w:ilvl w:val="0"/>
          <w:numId w:val="2"/>
        </w:numPr>
        <w:spacing w:after="100" w:line="252" w:lineRule="auto"/>
        <w:jc w:val="both"/>
      </w:pPr>
      <w:r>
        <w:rPr>
          <w:rFonts w:ascii="Calibri" w:hAnsi="Calibri"/>
          <w:b w:val="0"/>
          <w:i w:val="0"/>
          <w:sz w:val="21"/>
        </w:rPr>
        <w:t>Y’all Street Physical Gold ETF final prospectus, SEC filing dated 13 July 2026: Nasdaq symbol YSAU, physical-gold custody, 10,000-share baskets, initial 100 fine troy ounces per basket, authorized-participant creation/redemption, and 0.24% sponsor fee.</w:t>
      </w:r>
    </w:p>
    <w:p>
      <w:pPr>
        <w:pStyle w:val="FXBody"/>
        <w:keepLines w:val="0"/>
        <w:widowControl/>
        <w:numPr>
          <w:ilvl w:val="0"/>
          <w:numId w:val="2"/>
        </w:numPr>
        <w:spacing w:after="100" w:line="252" w:lineRule="auto"/>
        <w:jc w:val="both"/>
      </w:pPr>
      <w:r>
        <w:rPr>
          <w:rFonts w:ascii="Calibri" w:hAnsi="Calibri"/>
          <w:b w:val="0"/>
          <w:i w:val="0"/>
          <w:sz w:val="21"/>
        </w:rPr>
        <w:t>Texas Stock Exchange Member Readiness &amp; Launch Guide: continuous trading launch and anticipated September 2026 first ETP listing; dates subject to change.</w:t>
      </w:r>
    </w:p>
    <w:p>
      <w:pPr>
        <w:pStyle w:val="FXBody"/>
        <w:keepLines w:val="0"/>
        <w:widowControl/>
        <w:numPr>
          <w:ilvl w:val="0"/>
          <w:numId w:val="2"/>
        </w:numPr>
        <w:spacing w:after="100" w:line="252" w:lineRule="auto"/>
        <w:jc w:val="both"/>
      </w:pPr>
      <w:r>
        <w:rPr>
          <w:rFonts w:ascii="Calibri" w:hAnsi="Calibri"/>
          <w:b w:val="0"/>
          <w:i w:val="0"/>
          <w:sz w:val="21"/>
        </w:rPr>
        <w:t>Federal Reserve FEDS Note, 1 August 2025, Official Reserve Revaluations: The International Experience.</w:t>
      </w:r>
    </w:p>
    <w:p>
      <w:pPr>
        <w:pStyle w:val="FXBody"/>
        <w:keepLines w:val="0"/>
        <w:widowControl/>
        <w:numPr>
          <w:ilvl w:val="0"/>
          <w:numId w:val="2"/>
        </w:numPr>
        <w:spacing w:after="100" w:line="252" w:lineRule="auto"/>
        <w:jc w:val="both"/>
      </w:pPr>
      <w:r>
        <w:rPr>
          <w:rFonts w:ascii="Calibri" w:hAnsi="Calibri"/>
          <w:b w:val="0"/>
          <w:i w:val="0"/>
          <w:sz w:val="21"/>
        </w:rPr>
        <w:t>China-Warsh Gold Model-Break Thesis, 15 July 2026, supplied user framework memorandum; inventory compounding and Texas transmission remain hypothesis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Ind w:w="80" w:type="dxa"/>
        <w:tblCellMar>
          <w:top w:w="55" w:type="dxa"/>
          <w:bottom w:w="55" w:type="dxa"/>
          <w:left w:w="80" w:type="dxa"/>
          <w:right w:w="80" w:type="dxa"/>
        </w:tblCellMar>
      </w:tblPr>
      <w:tblGrid>
        <w:gridCol w:w="2000"/>
        <w:gridCol w:w="3000"/>
        <w:gridCol w:w="4026"/>
      </w:tblGrid>
      <w:tr>
        <w:trPr>
          <w:tblHeader w:val="true"/>
          <w:tblHeader/>
          <w:cantSplit/>
        </w:trPr>
        <w:tc>
          <w:tcPr>
            <w:tcW w:type="dxa" w:w="2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Module</w:t>
            </w:r>
          </w:p>
        </w:tc>
        <w:tc>
          <w:tcPr>
            <w:tcW w:type="dxa" w:w="3000"/>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Minimum evidence</w:t>
            </w:r>
          </w:p>
        </w:tc>
        <w:tc>
          <w:tcPr>
            <w:tcW w:type="dxa" w:w="4026"/>
            <w:vAlign w:val="center"/>
            <w:shd w:fill="17365D"/>
            <w:shd w:fill="17365D"/>
          </w:tcPr>
          <w:p>
            <w:pPr>
              <w:pStyle w:val="FXTable"/>
              <w:keepNext w:val="0"/>
              <w:keepLines w:val="0"/>
              <w:spacing w:after="0"/>
            </w:pPr>
            <w:r>
              <w:rPr>
                <w:rFonts w:ascii="Calibri" w:hAnsi="Calibri"/>
                <w:b/>
                <w:color w:val="FFFFFF"/>
                <w:sz w:val="18"/>
              </w:rPr>
            </w:r>
            <w:r>
              <w:rPr>
                <w:rFonts w:ascii="Calibri" w:hAnsi="Calibri"/>
                <w:b/>
                <w:color w:val="FFFFFF"/>
                <w:sz w:val="18"/>
              </w:rPr>
              <w:t>Forbidden inference</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Gold/statutory envelope</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Benchmark, date, $/FTO, statutory source, coefficient vintage</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DXY or goods-price devaluation from the ratio alone</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Quote transformation</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S_t in TRY/USD units, D, reciprocal and timestamp</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Conventional real FX or executable parity</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Reflexive containment</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Visibility → behaviour → policy → price sequence</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Discussion equals release</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Ugly longs</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Affected inventory, disposition, session supply</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Access removal proves forced liquidation</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Texas replacement cycle</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Listing, q per share, NAV basis, creations, ounces, lead-lag</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Venue volume equals physical demand</w:t>
            </w:r>
          </w:p>
        </w:tc>
      </w:tr>
      <w:tr>
        <w:trPr>
          <w:cantSplit/>
        </w:trPr>
        <w:tc>
          <w:tcPr>
            <w:tcW w:type="dxa" w:w="2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Milo</w:t>
            </w:r>
          </w:p>
        </w:tc>
        <w:tc>
          <w:tcPr>
            <w:tcW w:type="dxa" w:w="3000"/>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Absent category plus materiality test</w:t>
            </w:r>
          </w:p>
        </w:tc>
        <w:tc>
          <w:tcPr>
            <w:tcW w:type="dxa" w:w="4026"/>
            <w:vAlign w:val="center"/>
            <w:shd w:fill="FFFFFF"/>
          </w:tcPr>
          <w:p>
            <w:pPr>
              <w:pStyle w:val="FXTable"/>
              <w:keepNext w:val="0"/>
              <w:keepLines w:val="0"/>
              <w:spacing w:after="0"/>
            </w:pPr>
            <w:r>
              <w:rPr>
                <w:rFonts w:ascii="Calibri" w:hAnsi="Calibri"/>
                <w:color w:val="222222"/>
                <w:sz w:val="18"/>
              </w:rPr>
            </w:r>
            <w:r>
              <w:rPr>
                <w:rFonts w:ascii="Calibri" w:hAnsi="Calibri"/>
                <w:b w:val="0"/>
                <w:color w:val="222222"/>
                <w:sz w:val="18"/>
              </w:rPr>
              <w:t>Unknown equals confirmation</w:t>
            </w:r>
          </w:p>
        </w:tc>
      </w:tr>
    </w:tbl>
    <w:p>
      <w:pPr>
        <w:pStyle w:val="FXHeading1"/>
        <w:pageBreakBefore/>
        <w:widowControl/>
      </w:pPr>
      <w:r>
        <w:rPr>
          <w:color w:val="000000"/>
        </w:rPr>
        <w:t>Appendix L: Executed Sentinel Audit - 8 September 2026</w:t>
      </w:r>
    </w:p>
    <w:p>
      <w:pPr>
        <w:pStyle w:val="FXBody"/>
        <w:widowControl/>
        <w:spacing w:line="252" w:lineRule="auto"/>
      </w:pPr>
      <w:r>
        <w:rPr>
          <w:rFonts w:ascii="Calibri" w:hAnsi="Calibri"/>
          <w:sz w:val="21"/>
        </w:rPr>
        <w:t>This appendix records the v9.1 audit through my clarified intent, its C7/Null/ledger architecture, selected public primary evidence and explicit arithmetic. It is not a complete refreshed global watch or a forecast-performance backtest. A separate fiscal/finance guide reviewed ownership, units, transmission and the counterfactual treatment; its findings were reconciled with the source. All eight passages below were actually run. Confirmation was not guaranteed at the entrance.</w:t>
      </w:r>
    </w:p>
    <w:p>
      <w:pPr>
        <w:pStyle w:val="FXHeading2"/>
        <w:widowControl/>
      </w:pPr>
      <w:r>
        <w:rPr>
          <w:color w:val="000000"/>
        </w:rPr>
        <w:t>L.1 Author-intent and rule-provenance register</w:t>
      </w:r>
    </w:p>
    <w:tbl>
      <w:tblPr>
        <w:tblW w:type="dxa" w:w="9026"/>
        <w:tblLayout w:type="fixed"/>
        <w:tblLook w:firstColumn="1" w:firstRow="1" w:lastColumn="0" w:lastRow="0" w:noHBand="0" w:noVBand="1" w:val="04A0"/>
        <w:tblInd w:w="80" w:type="dxa"/>
        <w:tblCellMar>
          <w:top w:w="55" w:type="dxa"/>
          <w:bottom w:w="55" w:type="dxa"/>
          <w:left w:w="80" w:type="dxa"/>
          <w:right w:w="80" w:type="dxa"/>
        </w:tblCellMar>
      </w:tblPr>
      <w:tblGrid>
        <w:gridCol w:w="2000"/>
        <w:gridCol w:w="3000"/>
        <w:gridCol w:w="4026"/>
      </w:tblGrid>
      <w:tr>
        <w:trPr>
          <w:tblHeader/>
          <w:cantSplit/>
        </w:trPr>
        <w:tc>
          <w:tcPr>
            <w:tcW w:type="dxa" w:w="2000"/>
            <w:shd w:fill="17365D"/>
            <w:shd w:fill="17365D"/>
          </w:tcPr>
          <w:p>
            <w:pPr>
              <w:pStyle w:val="FXTable"/>
              <w:keepNext w:val="0"/>
              <w:keepLines w:val="0"/>
            </w:pPr>
            <w:r>
              <w:rPr>
                <w:rFonts w:ascii="Calibri" w:hAnsi="Calibri"/>
                <w:b/>
                <w:color w:val="FFFFFF"/>
                <w:sz w:val="18"/>
              </w:rPr>
              <w:t>Object</w:t>
            </w:r>
          </w:p>
        </w:tc>
        <w:tc>
          <w:tcPr>
            <w:tcW w:type="dxa" w:w="3000"/>
            <w:shd w:fill="17365D"/>
            <w:shd w:fill="17365D"/>
          </w:tcPr>
          <w:p>
            <w:pPr>
              <w:pStyle w:val="FXTable"/>
              <w:keepNext w:val="0"/>
              <w:keepLines w:val="0"/>
            </w:pPr>
            <w:r>
              <w:rPr>
                <w:rFonts w:ascii="Calibri" w:hAnsi="Calibri"/>
                <w:b/>
                <w:color w:val="FFFFFF"/>
                <w:sz w:val="18"/>
              </w:rPr>
              <w:t>Recovered role</w:t>
            </w:r>
          </w:p>
        </w:tc>
        <w:tc>
          <w:tcPr>
            <w:tcW w:type="dxa" w:w="4026"/>
            <w:shd w:fill="17365D"/>
            <w:shd w:fill="17365D"/>
          </w:tcPr>
          <w:p>
            <w:pPr>
              <w:pStyle w:val="FXTable"/>
              <w:keepNext w:val="0"/>
              <w:keepLines w:val="0"/>
            </w:pPr>
            <w:r>
              <w:rPr>
                <w:rFonts w:ascii="Calibri" w:hAnsi="Calibri"/>
                <w:b/>
                <w:color w:val="FFFFFF"/>
                <w:sz w:val="18"/>
              </w:rPr>
              <w:t>Operational treatment</w:t>
            </w:r>
          </w:p>
        </w:tc>
      </w:tr>
      <w:tr>
        <w:trPr>
          <w:cantSplit/>
        </w:trPr>
        <w:tc>
          <w:tcPr>
            <w:tcW w:type="dxa" w:w="2000"/>
            <w:shd w:fill="FFFFFF"/>
          </w:tcPr>
          <w:p>
            <w:pPr>
              <w:pStyle w:val="FXTable"/>
              <w:keepNext w:val="0"/>
              <w:keepLines w:val="0"/>
            </w:pPr>
            <w:r>
              <w:rPr>
                <w:rFonts w:ascii="Calibri" w:hAnsi="Calibri"/>
                <w:color w:val="222222"/>
                <w:sz w:val="18"/>
              </w:rPr>
              <w:t>Shadow capture</w:t>
            </w:r>
          </w:p>
        </w:tc>
        <w:tc>
          <w:tcPr>
            <w:tcW w:type="dxa" w:w="3000"/>
            <w:shd w:fill="FFFFFF"/>
          </w:tcPr>
          <w:p>
            <w:pPr>
              <w:pStyle w:val="FXTable"/>
              <w:keepNext w:val="0"/>
              <w:keepLines w:val="0"/>
            </w:pPr>
            <w:r>
              <w:rPr>
                <w:rFonts w:ascii="Calibri" w:hAnsi="Calibri"/>
                <w:color w:val="222222"/>
                <w:sz w:val="18"/>
              </w:rPr>
              <w:t>Author proposes roughly 11 times or more; candidate current USD/TRY divided by baseline.</w:t>
            </w:r>
          </w:p>
        </w:tc>
        <w:tc>
          <w:tcPr>
            <w:tcW w:type="dxa" w:w="4026"/>
            <w:shd w:fill="FFFFFF"/>
          </w:tcPr>
          <w:p>
            <w:pPr>
              <w:pStyle w:val="FXTable"/>
              <w:keepNext w:val="0"/>
              <w:keepLines w:val="0"/>
            </w:pPr>
            <w:r>
              <w:rPr>
                <w:rFonts w:ascii="Calibri" w:hAnsi="Calibri"/>
                <w:color w:val="222222"/>
                <w:sz w:val="18"/>
              </w:rPr>
              <w:t>Preserved hypothesis. Baseline event, value and sample unresolved; do not equate with captured-flow fraction.</w:t>
            </w:r>
          </w:p>
        </w:tc>
      </w:tr>
      <w:tr>
        <w:trPr>
          <w:cantSplit/>
        </w:trPr>
        <w:tc>
          <w:tcPr>
            <w:tcW w:type="dxa" w:w="2000"/>
            <w:shd w:fill="FFFFFF"/>
          </w:tcPr>
          <w:p>
            <w:pPr>
              <w:pStyle w:val="FXTable"/>
              <w:keepNext w:val="0"/>
              <w:keepLines w:val="0"/>
            </w:pPr>
            <w:r>
              <w:rPr>
                <w:rFonts w:ascii="Calibri" w:hAnsi="Calibri"/>
                <w:color w:val="222222"/>
                <w:sz w:val="18"/>
              </w:rPr>
              <w:t>TRY defence</w:t>
            </w:r>
          </w:p>
        </w:tc>
        <w:tc>
          <w:tcPr>
            <w:tcW w:type="dxa" w:w="3000"/>
            <w:shd w:fill="FFFFFF"/>
          </w:tcPr>
          <w:p>
            <w:pPr>
              <w:pStyle w:val="FXTable"/>
              <w:keepNext w:val="0"/>
              <w:keepLines w:val="0"/>
            </w:pPr>
            <w:r>
              <w:rPr>
                <w:rFonts w:ascii="Calibri" w:hAnsi="Calibri"/>
                <w:color w:val="222222"/>
                <w:sz w:val="18"/>
              </w:rPr>
              <w:t>Buffer allegedly insulates Türkiye from unbuffered inversion.</w:t>
            </w:r>
          </w:p>
        </w:tc>
        <w:tc>
          <w:tcPr>
            <w:tcW w:type="dxa" w:w="4026"/>
            <w:shd w:fill="FFFFFF"/>
          </w:tcPr>
          <w:p>
            <w:pPr>
              <w:pStyle w:val="FXTable"/>
              <w:keepNext w:val="0"/>
              <w:keepLines w:val="0"/>
            </w:pPr>
            <w:r>
              <w:rPr>
                <w:rFonts w:ascii="Calibri" w:hAnsi="Calibri"/>
                <w:color w:val="222222"/>
                <w:sz w:val="18"/>
              </w:rPr>
              <w:t>Test owner-specific fiscal and real-economy shock; policy motive remains a hypothesis.</w:t>
            </w:r>
          </w:p>
        </w:tc>
      </w:tr>
      <w:tr>
        <w:trPr>
          <w:cantSplit/>
        </w:trPr>
        <w:tc>
          <w:tcPr>
            <w:tcW w:type="dxa" w:w="2000"/>
            <w:shd w:fill="FFFFFF"/>
          </w:tcPr>
          <w:p>
            <w:pPr>
              <w:pStyle w:val="FXTable"/>
              <w:keepNext w:val="0"/>
              <w:keepLines w:val="0"/>
            </w:pPr>
            <w:r>
              <w:rPr>
                <w:rFonts w:ascii="Calibri" w:hAnsi="Calibri"/>
                <w:color w:val="222222"/>
                <w:sz w:val="18"/>
              </w:rPr>
              <w:t>Gold denominator</w:t>
            </w:r>
          </w:p>
        </w:tc>
        <w:tc>
          <w:tcPr>
            <w:tcW w:type="dxa" w:w="3000"/>
            <w:shd w:fill="FFFFFF"/>
          </w:tcPr>
          <w:p>
            <w:pPr>
              <w:pStyle w:val="FXTable"/>
              <w:keepNext w:val="0"/>
              <w:keepLines w:val="0"/>
            </w:pPr>
            <w:r>
              <w:rPr>
                <w:rFonts w:ascii="Calibri" w:hAnsi="Calibri"/>
                <w:color w:val="222222"/>
                <w:sz w:val="18"/>
              </w:rPr>
              <w:t>Deliberate $42.22 statutory reference, with ironic historical meaning.</w:t>
            </w:r>
          </w:p>
        </w:tc>
        <w:tc>
          <w:tcPr>
            <w:tcW w:type="dxa" w:w="4026"/>
            <w:shd w:fill="FFFFFF"/>
          </w:tcPr>
          <w:p>
            <w:pPr>
              <w:pStyle w:val="FXTable"/>
              <w:keepNext w:val="0"/>
              <w:keepLines w:val="0"/>
            </w:pPr>
            <w:r>
              <w:rPr>
                <w:rFonts w:ascii="Calibri" w:hAnsi="Calibri"/>
                <w:color w:val="222222"/>
                <w:sz w:val="18"/>
              </w:rPr>
              <w:t>Use precise $42.2222 in calculations; ratio is observable, minimum-adjustment interpretation unverified.</w:t>
            </w:r>
          </w:p>
        </w:tc>
      </w:tr>
      <w:tr>
        <w:trPr>
          <w:cantSplit/>
        </w:trPr>
        <w:tc>
          <w:tcPr>
            <w:tcW w:type="dxa" w:w="2000"/>
            <w:shd w:fill="FFFFFF"/>
          </w:tcPr>
          <w:p>
            <w:pPr>
              <w:pStyle w:val="FXTable"/>
              <w:keepNext w:val="0"/>
              <w:keepLines w:val="0"/>
            </w:pPr>
            <w:r>
              <w:rPr>
                <w:rFonts w:ascii="Calibri" w:hAnsi="Calibri"/>
                <w:color w:val="222222"/>
                <w:sz w:val="18"/>
              </w:rPr>
              <w:t>Buffett reference</w:t>
            </w:r>
          </w:p>
        </w:tc>
        <w:tc>
          <w:tcPr>
            <w:tcW w:type="dxa" w:w="3000"/>
            <w:shd w:fill="FFFFFF"/>
          </w:tcPr>
          <w:p>
            <w:pPr>
              <w:pStyle w:val="FXTable"/>
              <w:keepNext w:val="0"/>
              <w:keepLines w:val="0"/>
            </w:pPr>
            <w:r>
              <w:rPr>
                <w:rFonts w:ascii="Calibri" w:hAnsi="Calibri"/>
                <w:color w:val="222222"/>
                <w:sz w:val="18"/>
              </w:rPr>
              <w:t>Current displayed percentage rounded upward to next ten.</w:t>
            </w:r>
          </w:p>
        </w:tc>
        <w:tc>
          <w:tcPr>
            <w:tcW w:type="dxa" w:w="4026"/>
            <w:shd w:fill="FFFFFF"/>
          </w:tcPr>
          <w:p>
            <w:pPr>
              <w:pStyle w:val="FXTable"/>
              <w:keepNext w:val="0"/>
              <w:keepLines w:val="0"/>
            </w:pPr>
            <w:r>
              <w:rPr>
                <w:rFonts w:ascii="Calibri" w:hAnsi="Calibri"/>
                <w:color w:val="222222"/>
                <w:sz w:val="18"/>
              </w:rPr>
              <w:t>B_ref=10 ceil(B_display/10). No hard cap, peak freeze or crossing trigger.</w:t>
            </w:r>
          </w:p>
        </w:tc>
      </w:tr>
      <w:tr>
        <w:trPr>
          <w:cantSplit/>
        </w:trPr>
        <w:tc>
          <w:tcPr>
            <w:tcW w:type="dxa" w:w="2000"/>
            <w:shd w:fill="FFFFFF"/>
          </w:tcPr>
          <w:p>
            <w:pPr>
              <w:pStyle w:val="FXTable"/>
              <w:keepNext w:val="0"/>
              <w:keepLines w:val="0"/>
            </w:pPr>
            <w:r>
              <w:rPr>
                <w:rFonts w:ascii="Calibri" w:hAnsi="Calibri"/>
                <w:color w:val="222222"/>
                <w:sz w:val="18"/>
              </w:rPr>
              <w:t>$4,200 gate</w:t>
            </w:r>
          </w:p>
        </w:tc>
        <w:tc>
          <w:tcPr>
            <w:tcW w:type="dxa" w:w="3000"/>
            <w:shd w:fill="FFFFFF"/>
          </w:tcPr>
          <w:p>
            <w:pPr>
              <w:pStyle w:val="FXTable"/>
              <w:keepNext w:val="0"/>
              <w:keepLines w:val="0"/>
            </w:pPr>
            <w:r>
              <w:rPr>
                <w:rFonts w:ascii="Calibri" w:hAnsi="Calibri"/>
                <w:color w:val="222222"/>
                <w:sz w:val="18"/>
              </w:rPr>
              <w:t>Author's irony peg after watching gold reach $4,000.</w:t>
            </w:r>
          </w:p>
        </w:tc>
        <w:tc>
          <w:tcPr>
            <w:tcW w:type="dxa" w:w="4026"/>
            <w:shd w:fill="FFFFFF"/>
          </w:tcPr>
          <w:p>
            <w:pPr>
              <w:pStyle w:val="FXTable"/>
              <w:keepNext w:val="0"/>
              <w:keepLines w:val="0"/>
            </w:pPr>
            <w:r>
              <w:rPr>
                <w:rFonts w:ascii="Calibri" w:hAnsi="Calibri"/>
                <w:color w:val="222222"/>
                <w:sz w:val="18"/>
              </w:rPr>
              <w:t>Preserve level; four-week rule added later by assistants and accepted by author. Calibration not demonstrated.</w:t>
            </w:r>
          </w:p>
        </w:tc>
      </w:tr>
      <w:tr>
        <w:trPr>
          <w:cantSplit/>
        </w:trPr>
        <w:tc>
          <w:tcPr>
            <w:tcW w:type="dxa" w:w="2000"/>
            <w:shd w:fill="FFFFFF"/>
          </w:tcPr>
          <w:p>
            <w:pPr>
              <w:pStyle w:val="FXTable"/>
              <w:keepNext w:val="0"/>
              <w:keepLines w:val="0"/>
            </w:pPr>
            <w:r>
              <w:rPr>
                <w:rFonts w:ascii="Calibri" w:hAnsi="Calibri"/>
                <w:color w:val="222222"/>
                <w:sz w:val="18"/>
              </w:rPr>
              <w:t>4-10 / 340-460+</w:t>
            </w:r>
          </w:p>
        </w:tc>
        <w:tc>
          <w:tcPr>
            <w:tcW w:type="dxa" w:w="3000"/>
            <w:shd w:fill="FFFFFF"/>
          </w:tcPr>
          <w:p>
            <w:pPr>
              <w:pStyle w:val="FXTable"/>
              <w:keepNext w:val="0"/>
              <w:keepLines w:val="0"/>
            </w:pPr>
            <w:r>
              <w:rPr>
                <w:rFonts w:ascii="Calibri" w:hAnsi="Calibri"/>
                <w:color w:val="222222"/>
                <w:sz w:val="18"/>
              </w:rPr>
              <w:t>Author did not originate numbers; adverse branch means Turkish containment fails.</w:t>
            </w:r>
          </w:p>
        </w:tc>
        <w:tc>
          <w:tcPr>
            <w:tcW w:type="dxa" w:w="4026"/>
            <w:shd w:fill="FFFFFF"/>
          </w:tcPr>
          <w:p>
            <w:pPr>
              <w:pStyle w:val="FXTable"/>
              <w:keepNext w:val="0"/>
              <w:keepLines w:val="0"/>
            </w:pPr>
            <w:r>
              <w:rPr>
                <w:rFonts w:ascii="Calibri" w:hAnsi="Calibri"/>
                <w:color w:val="222222"/>
                <w:sz w:val="18"/>
              </w:rPr>
              <w:t>Legacy model-added ranges with unresolved numerical derivation; no forecast authority.</w:t>
            </w:r>
          </w:p>
        </w:tc>
      </w:tr>
      <w:tr>
        <w:trPr>
          <w:cantSplit/>
        </w:trPr>
        <w:tc>
          <w:tcPr>
            <w:tcW w:type="dxa" w:w="2000"/>
            <w:shd w:fill="FFFFFF"/>
          </w:tcPr>
          <w:p>
            <w:pPr>
              <w:pStyle w:val="FXTable"/>
              <w:keepNext w:val="0"/>
              <w:keepLines w:val="0"/>
            </w:pPr>
            <w:r>
              <w:rPr>
                <w:rFonts w:ascii="Calibri" w:hAnsi="Calibri"/>
                <w:color w:val="222222"/>
                <w:sz w:val="18"/>
              </w:rPr>
              <w:t>Empty data layer</w:t>
            </w:r>
          </w:p>
        </w:tc>
        <w:tc>
          <w:tcPr>
            <w:tcW w:type="dxa" w:w="3000"/>
            <w:shd w:fill="FFFFFF"/>
          </w:tcPr>
          <w:p>
            <w:pPr>
              <w:pStyle w:val="FXTable"/>
              <w:keepNext w:val="0"/>
              <w:keepLines w:val="0"/>
            </w:pPr>
            <w:r>
              <w:rPr>
                <w:rFonts w:ascii="Calibri" w:hAnsi="Calibri"/>
                <w:color w:val="222222"/>
                <w:sz w:val="18"/>
              </w:rPr>
              <w:t>Deliberate invitation to expected objections.</w:t>
            </w:r>
          </w:p>
        </w:tc>
        <w:tc>
          <w:tcPr>
            <w:tcW w:type="dxa" w:w="4026"/>
            <w:shd w:fill="FFFFFF"/>
          </w:tcPr>
          <w:p>
            <w:pPr>
              <w:pStyle w:val="FXTable"/>
              <w:keepNext w:val="0"/>
              <w:keepLines w:val="0"/>
            </w:pPr>
            <w:r>
              <w:rPr>
                <w:rFonts w:ascii="Calibri" w:hAnsi="Calibri"/>
                <w:color w:val="222222"/>
                <w:sz w:val="18"/>
              </w:rPr>
              <w:t>Populate per audit; preserve open entrances, retain adverse findings.</w:t>
            </w:r>
          </w:p>
        </w:tc>
      </w:tr>
      <w:tr>
        <w:trPr>
          <w:cantSplit/>
        </w:trPr>
        <w:tc>
          <w:tcPr>
            <w:tcW w:type="dxa" w:w="2000"/>
            <w:shd w:fill="FFFFFF"/>
          </w:tcPr>
          <w:p>
            <w:pPr>
              <w:pStyle w:val="FXTable"/>
              <w:keepNext w:val="0"/>
              <w:keepLines w:val="0"/>
            </w:pPr>
            <w:r>
              <w:rPr>
                <w:rFonts w:ascii="Calibri" w:hAnsi="Calibri"/>
                <w:color w:val="222222"/>
                <w:sz w:val="18"/>
              </w:rPr>
              <w:t>Trust stack / maze</w:t>
            </w:r>
          </w:p>
        </w:tc>
        <w:tc>
          <w:tcPr>
            <w:tcW w:type="dxa" w:w="3000"/>
            <w:shd w:fill="FFFFFF"/>
          </w:tcPr>
          <w:p>
            <w:pPr>
              <w:pStyle w:val="FXTable"/>
              <w:keepNext w:val="0"/>
              <w:keepLines w:val="0"/>
            </w:pPr>
            <w:r>
              <w:rPr>
                <w:rFonts w:ascii="Calibri" w:hAnsi="Calibri"/>
                <w:color w:val="222222"/>
                <w:sz w:val="18"/>
              </w:rPr>
              <w:t>Core mechanism and adversarial design.</w:t>
            </w:r>
          </w:p>
        </w:tc>
        <w:tc>
          <w:tcPr>
            <w:tcW w:type="dxa" w:w="4026"/>
            <w:shd w:fill="FFFFFF"/>
          </w:tcPr>
          <w:p>
            <w:pPr>
              <w:pStyle w:val="FXTable"/>
              <w:keepNext w:val="0"/>
              <w:keepLines w:val="0"/>
            </w:pPr>
            <w:r>
              <w:rPr>
                <w:rFonts w:ascii="Calibri" w:hAnsi="Calibri"/>
                <w:color w:val="222222"/>
                <w:sz w:val="18"/>
              </w:rPr>
              <w:t>Keep donors and layers; route each to observation and counterevidence, not a vote of authorities.</w:t>
            </w:r>
          </w:p>
        </w:tc>
      </w:tr>
    </w:tbl>
    <w:p>
      <w:pPr>
        <w:pStyle w:val="FXHeading2"/>
        <w:widowControl/>
      </w:pPr>
      <w:r>
        <w:rPr>
          <w:color w:val="000000"/>
        </w:rPr>
        <w:t>L.2 Eight completed challenge passages</w:t>
      </w:r>
    </w:p>
    <w:p>
      <w:pPr>
        <w:pStyle w:val="FXHeading2"/>
        <w:widowControl/>
      </w:pPr>
      <w:r>
        <w:rPr>
          <w:color w:val="000000"/>
        </w:rPr>
        <w:t>1. Empty data means no framework</w:t>
      </w:r>
    </w:p>
    <w:p>
      <w:pPr>
        <w:pStyle w:val="FXBody"/>
        <w:widowControl/>
        <w:spacing w:line="252" w:lineRule="auto"/>
      </w:pPr>
      <w:r>
        <w:rPr>
          <w:rFonts w:ascii="Calibri" w:hAnsi="Calibri"/>
          <w:sz w:val="21"/>
        </w:rPr>
        <w:t>Attack: The initial ledger is empty, so the framework has no value.</w:t>
      </w:r>
    </w:p>
    <w:p>
      <w:pPr>
        <w:pStyle w:val="FXBody"/>
        <w:widowControl/>
        <w:spacing w:line="252" w:lineRule="auto"/>
      </w:pPr>
      <w:r>
        <w:rPr>
          <w:rFonts w:ascii="Calibri" w:hAnsi="Calibri"/>
          <w:sz w:val="21"/>
        </w:rPr>
        <w:t>Sentinel route: §§3D, 6.2A-B and 8 require an observation, both readings and a discriminator.</w:t>
      </w:r>
    </w:p>
    <w:p>
      <w:pPr>
        <w:pStyle w:val="FXBody"/>
        <w:widowControl/>
        <w:spacing w:line="252" w:lineRule="auto"/>
      </w:pPr>
      <w:r>
        <w:rPr>
          <w:rFonts w:ascii="Calibri" w:hAnsi="Calibri"/>
          <w:sz w:val="21"/>
        </w:rPr>
        <w:t>Evidence: Document inspection confirms this testing structure. This appendix now records actual evidence and outcomes.</w:t>
      </w:r>
    </w:p>
    <w:p>
      <w:pPr>
        <w:pStyle w:val="FXBody"/>
        <w:widowControl/>
        <w:spacing w:line="252" w:lineRule="auto"/>
      </w:pPr>
      <w:r>
        <w:rPr>
          <w:rFonts w:ascii="Calibri" w:hAnsi="Calibri"/>
          <w:sz w:val="21"/>
        </w:rPr>
        <w:t>Verdict: The architecture survives this attack. Having a testing architecture still does not give us empirical confirmation.</w:t>
      </w:r>
    </w:p>
    <w:p>
      <w:pPr>
        <w:pStyle w:val="FXBody"/>
        <w:widowControl/>
        <w:spacing w:line="252" w:lineRule="auto"/>
      </w:pPr>
      <w:r>
        <w:rPr>
          <w:rFonts w:ascii="Calibri" w:hAnsi="Calibri"/>
          <w:sz w:val="21"/>
        </w:rPr>
        <w:t>Next discriminator: Future passages must contain the specified evidence or end Unresolved.</w:t>
      </w:r>
    </w:p>
    <w:p>
      <w:pPr>
        <w:pStyle w:val="FXHeading2"/>
        <w:widowControl/>
      </w:pPr>
      <w:r>
        <w:rPr>
          <w:color w:val="000000"/>
        </w:rPr>
        <w:t>2. Gold revaluation is an invented mechanism</w:t>
      </w:r>
    </w:p>
    <w:p>
      <w:pPr>
        <w:pStyle w:val="FXBody"/>
        <w:widowControl/>
        <w:spacing w:line="252" w:lineRule="auto"/>
      </w:pPr>
      <w:r>
        <w:rPr>
          <w:rFonts w:ascii="Calibri" w:hAnsi="Calibri"/>
          <w:sz w:val="21"/>
        </w:rPr>
        <w:t>Attack: The 2025 clue supplies no concrete public-finance pathway.</w:t>
      </w:r>
    </w:p>
    <w:p>
      <w:pPr>
        <w:pStyle w:val="FXBody"/>
        <w:widowControl/>
        <w:spacing w:line="252" w:lineRule="auto"/>
      </w:pPr>
      <w:r>
        <w:rPr>
          <w:rFonts w:ascii="Calibri" w:hAnsi="Calibri"/>
          <w:sz w:val="21"/>
        </w:rPr>
        <w:t>Sentinel route: Genesis exhibit to legislative text, then ownership and accounting.</w:t>
      </w:r>
    </w:p>
    <w:p>
      <w:pPr>
        <w:pStyle w:val="FXBody"/>
        <w:widowControl/>
        <w:spacing w:line="252" w:lineRule="auto"/>
      </w:pPr>
      <w:r>
        <w:rPr>
          <w:rFonts w:ascii="Calibri" w:hAnsi="Calibri"/>
          <w:sz w:val="21"/>
        </w:rPr>
        <w:t>Evidence: S.954 introduced text includes the certificate-revaluation/remittance design [S1]. Fed research examines international revaluation transfers [S2].</w:t>
      </w:r>
    </w:p>
    <w:p>
      <w:pPr>
        <w:pStyle w:val="FXBody"/>
        <w:widowControl/>
        <w:spacing w:line="252" w:lineRule="auto"/>
      </w:pPr>
      <w:r>
        <w:rPr>
          <w:rFonts w:ascii="Calibri" w:hAnsi="Calibri"/>
          <w:sz w:val="21"/>
        </w:rPr>
        <w:t>Verdict: The narrow mechanism is supported. Enactment, hidden breakdown, Turkish transmission and magnitude are not proved. An introduced-text page does not establish current legislative status.</w:t>
      </w:r>
    </w:p>
    <w:p>
      <w:pPr>
        <w:pStyle w:val="FXBody"/>
        <w:widowControl/>
        <w:spacing w:line="252" w:lineRule="auto"/>
      </w:pPr>
      <w:r>
        <w:rPr>
          <w:rFonts w:ascii="Calibri" w:hAnsi="Calibri"/>
          <w:sz w:val="21"/>
        </w:rPr>
        <w:t>Next discriminator: Enacted authority, actual entries, remittances and expenditure would change implementation status.</w:t>
      </w:r>
    </w:p>
    <w:p>
      <w:pPr>
        <w:pStyle w:val="FXHeading2"/>
        <w:widowControl/>
      </w:pPr>
      <w:r>
        <w:rPr>
          <w:color w:val="000000"/>
        </w:rPr>
        <w:t>3. Stabilization already explains the buffer</w:t>
      </w:r>
    </w:p>
    <w:p>
      <w:pPr>
        <w:pStyle w:val="FXBody"/>
        <w:widowControl/>
        <w:spacing w:line="252" w:lineRule="auto"/>
      </w:pPr>
      <w:r>
        <w:rPr>
          <w:rFonts w:ascii="Calibri" w:hAnsi="Calibri"/>
          <w:sz w:val="21"/>
        </w:rPr>
        <w:t>Attack: Reserves and lira preference can improve under conventional policy without stored dollar distortion.</w:t>
      </w:r>
    </w:p>
    <w:p>
      <w:pPr>
        <w:pStyle w:val="FXBody"/>
        <w:widowControl/>
        <w:spacing w:line="252" w:lineRule="auto"/>
      </w:pPr>
      <w:r>
        <w:rPr>
          <w:rFonts w:ascii="Calibri" w:hAnsi="Calibri"/>
          <w:sz w:val="21"/>
        </w:rPr>
        <w:t>Sentinel route: Use §6.2B rather than deleting the hypothesis or awarding it shared observations.</w:t>
      </w:r>
    </w:p>
    <w:p>
      <w:pPr>
        <w:pStyle w:val="FXBody"/>
        <w:widowControl/>
        <w:spacing w:line="252" w:lineRule="auto"/>
      </w:pPr>
      <w:r>
        <w:rPr>
          <w:rFonts w:ascii="Calibri" w:hAnsi="Calibri"/>
          <w:sz w:val="21"/>
        </w:rPr>
        <w:t>Evidence: CBRT reports gross reserves of $185bn and net reserves excluding swaps of $56bn on 12 August 2026, up $30bn and $35bn since 27 March; TL deposit share 62% [S3]. IMF reports stronger lira demand and reserve rebuilding under stabilization [S4].</w:t>
      </w:r>
    </w:p>
    <w:p>
      <w:pPr>
        <w:pStyle w:val="FXBody"/>
        <w:widowControl/>
        <w:spacing w:line="252" w:lineRule="auto"/>
      </w:pPr>
      <w:r>
        <w:rPr>
          <w:rFonts w:ascii="Calibri" w:hAnsi="Calibri"/>
          <w:sz w:val="21"/>
        </w:rPr>
        <w:t>Verdict: These observations are Shared, and the Null is credible. Neither statement measures captured eligible flows, supplies a valuation-adjusted transaction bridge or establishes an 11-times buffer.</w:t>
      </w:r>
    </w:p>
    <w:p>
      <w:pPr>
        <w:pStyle w:val="FXBody"/>
        <w:widowControl/>
        <w:spacing w:line="252" w:lineRule="auto"/>
      </w:pPr>
      <w:r>
        <w:rPr>
          <w:rFonts w:ascii="Calibri" w:hAnsi="Calibri"/>
          <w:sz w:val="21"/>
        </w:rPr>
        <w:t>Next discriminator: Match deposits, valuation-adjusted reserve transactions, policy costs and USD-side sequence; specify the distinguishing result before scoring.</w:t>
      </w:r>
    </w:p>
    <w:p>
      <w:pPr>
        <w:pStyle w:val="FXHeading2"/>
        <w:widowControl/>
      </w:pPr>
      <w:r>
        <w:rPr>
          <w:color w:val="000000"/>
        </w:rPr>
        <w:t>4. Gold/Buffett arithmetic proves the FX endpoint</w:t>
      </w:r>
    </w:p>
    <w:p>
      <w:pPr>
        <w:pStyle w:val="FXBody"/>
        <w:widowControl/>
        <w:spacing w:line="252" w:lineRule="auto"/>
      </w:pPr>
      <w:r>
        <w:rPr>
          <w:rFonts w:ascii="Calibri" w:hAnsi="Calibri"/>
          <w:sz w:val="21"/>
        </w:rPr>
        <w:t>Attack: Large gold/statutory ratios and displayed Buffett readings must imply executable inversion.</w:t>
      </w:r>
    </w:p>
    <w:p>
      <w:pPr>
        <w:pStyle w:val="FXBody"/>
        <w:widowControl/>
        <w:spacing w:line="252" w:lineRule="auto"/>
      </w:pPr>
      <w:r>
        <w:rPr>
          <w:rFonts w:ascii="Calibri" w:hAnsi="Calibri"/>
          <w:sz w:val="21"/>
        </w:rPr>
        <w:t>Sentinel route: Separate definitions, arithmetic, scenario and release mechanism.</w:t>
      </w:r>
    </w:p>
    <w:p>
      <w:pPr>
        <w:pStyle w:val="FXBody"/>
        <w:widowControl/>
        <w:spacing w:line="252" w:lineRule="auto"/>
      </w:pPr>
      <w:r>
        <w:rPr>
          <w:rFonts w:ascii="Calibri" w:hAnsi="Calibri"/>
          <w:sz w:val="21"/>
        </w:rPr>
        <w:t>Evidence: Gold ratio has matched price units; Buffett rounding is author-defined. At S=48 and B=240, S/B=0.20 and B/S=5 exactly.</w:t>
      </w:r>
    </w:p>
    <w:p>
      <w:pPr>
        <w:pStyle w:val="FXBody"/>
        <w:widowControl/>
        <w:spacing w:line="252" w:lineRule="auto"/>
      </w:pPr>
      <w:r>
        <w:rPr>
          <w:rFonts w:ascii="Calibri" w:hAnsi="Calibri"/>
          <w:sz w:val="21"/>
        </w:rPr>
        <w:t>Verdict: The arithmetic works. The economic mapping is unresolved. Neither division finds an equilibrium rate, and replacing my stress convention with 2.40 would erase the experiment I intended.</w:t>
      </w:r>
    </w:p>
    <w:p>
      <w:pPr>
        <w:pStyle w:val="FXBody"/>
        <w:widowControl/>
        <w:spacing w:line="252" w:lineRule="auto"/>
      </w:pPr>
      <w:r>
        <w:rPr>
          <w:rFonts w:ascii="Calibri" w:hAnsi="Calibri"/>
          <w:sz w:val="21"/>
        </w:rPr>
        <w:t>Next discriminator: A transmission function linking net demand and absorption to price is required for forecast authority.</w:t>
      </w:r>
    </w:p>
    <w:p>
      <w:pPr>
        <w:pStyle w:val="FXHeading2"/>
        <w:widowControl/>
      </w:pPr>
      <w:r>
        <w:rPr>
          <w:color w:val="000000"/>
        </w:rPr>
        <w:t>5. The trust stack is only an authority shield</w:t>
      </w:r>
    </w:p>
    <w:p>
      <w:pPr>
        <w:pStyle w:val="FXBody"/>
        <w:widowControl/>
        <w:spacing w:line="252" w:lineRule="auto"/>
      </w:pPr>
      <w:r>
        <w:rPr>
          <w:rFonts w:ascii="Calibri" w:hAnsi="Calibri"/>
          <w:sz w:val="21"/>
        </w:rPr>
        <w:t>Attack: Keynes, Friedman and institutional thinkers merely decorate a protected conclusion.</w:t>
      </w:r>
    </w:p>
    <w:p>
      <w:pPr>
        <w:pStyle w:val="FXBody"/>
        <w:widowControl/>
        <w:spacing w:line="252" w:lineRule="auto"/>
      </w:pPr>
      <w:r>
        <w:rPr>
          <w:rFonts w:ascii="Calibri" w:hAnsi="Calibri"/>
          <w:sz w:val="21"/>
        </w:rPr>
        <w:t>Sentinel route: Follow the proposed channels into observable compliance, funding, prices and competing explanations.</w:t>
      </w:r>
    </w:p>
    <w:p>
      <w:pPr>
        <w:pStyle w:val="FXBody"/>
        <w:widowControl/>
        <w:spacing w:line="252" w:lineRule="auto"/>
      </w:pPr>
      <w:r>
        <w:rPr>
          <w:rFonts w:ascii="Calibri" w:hAnsi="Calibri"/>
          <w:sz w:val="21"/>
        </w:rPr>
        <w:t>Evidence: The original text already allows Shared/Unresolved outcomes. Current policy and deposit observations fit the Null as well as containment. No direct burnout or hidden-purpose measurement was supplied.</w:t>
      </w:r>
    </w:p>
    <w:p>
      <w:pPr>
        <w:pStyle w:val="FXBody"/>
        <w:widowControl/>
        <w:spacing w:line="252" w:lineRule="auto"/>
      </w:pPr>
      <w:r>
        <w:rPr>
          <w:rFonts w:ascii="Calibri" w:hAnsi="Calibri"/>
          <w:sz w:val="21"/>
        </w:rPr>
        <w:t>Verdict: The mechanism architecture survives. The named thinkers get zero independent evidence credit. Claims of strong empirical identity are repaired.</w:t>
      </w:r>
    </w:p>
    <w:p>
      <w:pPr>
        <w:pStyle w:val="FXBody"/>
        <w:widowControl/>
        <w:spacing w:line="252" w:lineRule="auto"/>
      </w:pPr>
      <w:r>
        <w:rPr>
          <w:rFonts w:ascii="Calibri" w:hAnsi="Calibri"/>
          <w:sz w:val="21"/>
        </w:rPr>
        <w:t>Next discriminator: Use L.4 observables; preserve adverse results and distinguish trust from credit pricing.</w:t>
      </w:r>
    </w:p>
    <w:p>
      <w:pPr>
        <w:pStyle w:val="FXHeading2"/>
        <w:widowControl/>
      </w:pPr>
      <w:r>
        <w:rPr>
          <w:color w:val="000000"/>
        </w:rPr>
        <w:t>6. Cross-frame stress mathematics is inconsistent</w:t>
      </w:r>
    </w:p>
    <w:p>
      <w:pPr>
        <w:pStyle w:val="FXBody"/>
        <w:widowControl/>
        <w:spacing w:line="252" w:lineRule="auto"/>
      </w:pPr>
      <w:r>
        <w:rPr>
          <w:rFonts w:ascii="Calibri" w:hAnsi="Calibri"/>
          <w:sz w:val="21"/>
        </w:rPr>
        <w:t>Attack: Changing currency labels creates different ratios and wrong revenue direction.</w:t>
      </w:r>
    </w:p>
    <w:p>
      <w:pPr>
        <w:pStyle w:val="FXBody"/>
        <w:widowControl/>
        <w:spacing w:line="252" w:lineRule="auto"/>
      </w:pPr>
      <w:r>
        <w:rPr>
          <w:rFonts w:ascii="Calibri" w:hAnsi="Calibri"/>
          <w:sz w:val="21"/>
        </w:rPr>
        <w:t>Sentinel route: Apply identical-owner, identical-window and unit tests.</w:t>
      </w:r>
    </w:p>
    <w:p>
      <w:pPr>
        <w:pStyle w:val="FXBody"/>
        <w:widowControl/>
        <w:spacing w:line="252" w:lineRule="auto"/>
      </w:pPr>
      <w:r>
        <w:rPr>
          <w:rFonts w:ascii="Calibri" w:hAnsi="Calibri"/>
          <w:sz w:val="21"/>
        </w:rPr>
        <w:t>Evidence: 700 CNY/barrel divided by 7 CNY/USD=$100; divided by 6=$116.67. Translating both legs of PDCR at one rate cancels. The old alpha formula mixed USD with basket quantities.</w:t>
      </w:r>
    </w:p>
    <w:p>
      <w:pPr>
        <w:pStyle w:val="FXBody"/>
        <w:widowControl/>
        <w:spacing w:line="252" w:lineRule="auto"/>
      </w:pPr>
      <w:r>
        <w:rPr>
          <w:rFonts w:ascii="Calibri" w:hAnsi="Calibri"/>
          <w:sz w:val="21"/>
        </w:rPr>
        <w:t>Verdict: This attack succeeds against the implementation. Keep the CNY channel, correct the sign and suspend incompatible auxiliary tests.</w:t>
      </w:r>
    </w:p>
    <w:p>
      <w:pPr>
        <w:pStyle w:val="FXBody"/>
        <w:widowControl/>
        <w:spacing w:line="252" w:lineRule="auto"/>
      </w:pPr>
      <w:r>
        <w:rPr>
          <w:rFonts w:ascii="Calibri" w:hAnsi="Calibri"/>
          <w:sz w:val="21"/>
        </w:rPr>
        <w:t>Next discriminator: Declare exposure baskets and timing before numerical cross-frame comparisons resume.</w:t>
      </w:r>
    </w:p>
    <w:p>
      <w:pPr>
        <w:pStyle w:val="FXHeading2"/>
        <w:widowControl/>
      </w:pPr>
      <w:r>
        <w:rPr>
          <w:color w:val="000000"/>
        </w:rPr>
        <w:t>7. Policy delay is being relabelled confirmation</w:t>
      </w:r>
    </w:p>
    <w:p>
      <w:pPr>
        <w:pStyle w:val="FXBody"/>
        <w:widowControl/>
        <w:spacing w:line="252" w:lineRule="auto"/>
      </w:pPr>
      <w:r>
        <w:rPr>
          <w:rFonts w:ascii="Calibri" w:hAnsi="Calibri"/>
          <w:sz w:val="21"/>
        </w:rPr>
        <w:t>Attack: A hold with hawkish dissent cannot be an easing confirmation.</w:t>
      </w:r>
    </w:p>
    <w:p>
      <w:pPr>
        <w:pStyle w:val="FXBody"/>
        <w:widowControl/>
        <w:spacing w:line="252" w:lineRule="auto"/>
      </w:pPr>
      <w:r>
        <w:rPr>
          <w:rFonts w:ascii="Calibri" w:hAnsi="Calibri"/>
          <w:sz w:val="21"/>
        </w:rPr>
        <w:t>Sentinel route: Use realized policy versus expectations under §12.6.</w:t>
      </w:r>
    </w:p>
    <w:p>
      <w:pPr>
        <w:pStyle w:val="FXBody"/>
        <w:widowControl/>
        <w:spacing w:line="252" w:lineRule="auto"/>
      </w:pPr>
      <w:r>
        <w:rPr>
          <w:rFonts w:ascii="Calibri" w:hAnsi="Calibri"/>
          <w:sz w:val="21"/>
        </w:rPr>
        <w:t>Evidence: Official 29 July 2026 statement records 3.50-3.75% unchanged, a 9-3 vote and three members preferring a 25bp increase [S5].</w:t>
      </w:r>
    </w:p>
    <w:p>
      <w:pPr>
        <w:pStyle w:val="FXBody"/>
        <w:widowControl/>
        <w:spacing w:line="252" w:lineRule="auto"/>
      </w:pPr>
      <w:r>
        <w:rPr>
          <w:rFonts w:ascii="Calibri" w:hAnsi="Calibri"/>
          <w:sz w:val="21"/>
        </w:rPr>
        <w:t>Verdict: There is no realized easing confirmation. The historical hold branch stays a timing extension with adverse dissent evidence. Full falsification still requires its other conditions.</w:t>
      </w:r>
    </w:p>
    <w:p>
      <w:pPr>
        <w:pStyle w:val="FXBody"/>
        <w:widowControl/>
        <w:spacing w:line="252" w:lineRule="auto"/>
      </w:pPr>
      <w:r>
        <w:rPr>
          <w:rFonts w:ascii="Calibri" w:hAnsi="Calibri"/>
          <w:sz w:val="21"/>
        </w:rPr>
        <w:t>Next discriminator: Observe subsequent realized action and the required independent thesis-class persistence.</w:t>
      </w:r>
    </w:p>
    <w:p>
      <w:pPr>
        <w:pStyle w:val="FXHeading2"/>
        <w:widowControl/>
      </w:pPr>
      <w:r>
        <w:rPr>
          <w:color w:val="000000"/>
        </w:rPr>
        <w:t>8. Baseline chronology cannot produce 11 times yet</w:t>
      </w:r>
    </w:p>
    <w:p>
      <w:pPr>
        <w:pStyle w:val="FXBody"/>
        <w:widowControl/>
        <w:spacing w:line="252" w:lineRule="auto"/>
      </w:pPr>
      <w:r>
        <w:rPr>
          <w:rFonts w:ascii="Calibri" w:hAnsi="Calibri"/>
          <w:sz w:val="21"/>
        </w:rPr>
        <w:t>Attack: The proposed denominator is not tied to a recoverable event and quote.</w:t>
      </w:r>
    </w:p>
    <w:p>
      <w:pPr>
        <w:pStyle w:val="FXBody"/>
        <w:widowControl/>
        <w:spacing w:line="252" w:lineRule="auto"/>
      </w:pPr>
      <w:r>
        <w:rPr>
          <w:rFonts w:ascii="Calibri" w:hAnsi="Calibri"/>
          <w:sz w:val="21"/>
        </w:rPr>
        <w:t>Sentinel route: Test the event chain without forcing autobiographical recall.</w:t>
      </w:r>
    </w:p>
    <w:p>
      <w:pPr>
        <w:pStyle w:val="FXBody"/>
        <w:widowControl/>
        <w:spacing w:line="252" w:lineRule="auto"/>
      </w:pPr>
      <w:r>
        <w:rPr>
          <w:rFonts w:ascii="Calibri" w:hAnsi="Calibri"/>
          <w:sz w:val="21"/>
        </w:rPr>
        <w:t>Evidence: Euro-dollar parity occurred 13 July 2022 [S6]; the identified Trump interview was published 16 July 2024 [S7]. Neither establishes a legal USD/TRY unpeg. At illustrative S=48, an 11-times ratio would require baseline about 4.36.</w:t>
      </w:r>
    </w:p>
    <w:p>
      <w:pPr>
        <w:pStyle w:val="FXBody"/>
        <w:widowControl/>
        <w:spacing w:line="252" w:lineRule="auto"/>
      </w:pPr>
      <w:r>
        <w:rPr>
          <w:rFonts w:ascii="Calibri" w:hAnsi="Calibri"/>
          <w:sz w:val="21"/>
        </w:rPr>
        <w:t>Verdict: The baseline is unresolved. We cannot merge the dates or call the 11-times claim measured. The 4.36 value is what consistency would require; it is not a recovered quote.</w:t>
      </w:r>
    </w:p>
    <w:p>
      <w:pPr>
        <w:pStyle w:val="FXBody"/>
        <w:widowControl/>
        <w:spacing w:line="252" w:lineRule="auto"/>
      </w:pPr>
      <w:r>
        <w:rPr>
          <w:rFonts w:ascii="Calibri" w:hAnsi="Calibri"/>
          <w:sz w:val="21"/>
        </w:rPr>
        <w:t>Next discriminator: Recover contemporaneous notes or explicitly create a prospective baseline; preserve the old uncertainty and do not backdate it.</w:t>
      </w:r>
    </w:p>
    <w:p>
      <w:pPr>
        <w:pStyle w:val="FXHeading2"/>
        <w:widowControl/>
      </w:pPr>
      <w:r>
        <w:rPr>
          <w:color w:val="000000"/>
        </w:rPr>
        <w:t>L.3 Unbuffered-inversion fiscal shock: conditional calculation</w:t>
      </w:r>
    </w:p>
    <w:p>
      <w:pPr>
        <w:pStyle w:val="FXBody"/>
        <w:widowControl/>
        <w:spacing w:line="252" w:lineRule="auto"/>
      </w:pPr>
      <w:r>
        <w:rPr>
          <w:rFonts w:ascii="Calibri" w:hAnsi="Calibri"/>
          <w:sz w:val="21"/>
        </w:rPr>
        <w:t>The experiment assumes S moves from 48 to 0.20 TRY per USD with B_ref=240. That is an assumption, not a forecast. Hold the initial contracts, quantities and other quoted prices fixed only for the immediate translation step. The dollar's TRY quote falls 99.5833%; the reciprocal USD value of one TRY rises 240 times, or 23,900%. If everything is simply redenominated together, we have changed the bookkeeping and created no real gain. The fiscal shock needs genuine relative-price changes and repricing that happens at different times.</w:t>
      </w:r>
    </w:p>
    <w:tbl>
      <w:tblPr>
        <w:tblW w:type="dxa" w:w="9026"/>
        <w:tblLayout w:type="fixed"/>
        <w:tblLook w:firstColumn="1" w:firstRow="1" w:lastColumn="0" w:lastRow="0" w:noHBand="0" w:noVBand="1" w:val="04A0"/>
        <w:tblInd w:w="80" w:type="dxa"/>
        <w:tblCellMar>
          <w:top w:w="55" w:type="dxa"/>
          <w:bottom w:w="55" w:type="dxa"/>
          <w:left w:w="80" w:type="dxa"/>
          <w:right w:w="80" w:type="dxa"/>
        </w:tblCellMar>
      </w:tblPr>
      <w:tblGrid>
        <w:gridCol w:w="1700"/>
        <w:gridCol w:w="2100"/>
        <w:gridCol w:w="2100"/>
        <w:gridCol w:w="3126"/>
      </w:tblGrid>
      <w:tr>
        <w:trPr>
          <w:tblHeader/>
          <w:cantSplit/>
        </w:trPr>
        <w:tc>
          <w:tcPr>
            <w:tcW w:type="dxa" w:w="1700"/>
            <w:shd w:fill="17365D"/>
            <w:shd w:fill="17365D"/>
          </w:tcPr>
          <w:p>
            <w:pPr>
              <w:pStyle w:val="FXTable"/>
              <w:keepNext w:val="0"/>
              <w:keepLines w:val="0"/>
            </w:pPr>
            <w:r>
              <w:rPr>
                <w:rFonts w:ascii="Calibri" w:hAnsi="Calibri"/>
                <w:b/>
                <w:color w:val="FFFFFF"/>
                <w:sz w:val="18"/>
              </w:rPr>
              <w:t>Fixed exposure</w:t>
            </w:r>
          </w:p>
        </w:tc>
        <w:tc>
          <w:tcPr>
            <w:tcW w:type="dxa" w:w="2100"/>
            <w:shd w:fill="17365D"/>
            <w:shd w:fill="17365D"/>
          </w:tcPr>
          <w:p>
            <w:pPr>
              <w:pStyle w:val="FXTable"/>
              <w:keepNext w:val="0"/>
              <w:keepLines w:val="0"/>
            </w:pPr>
            <w:r>
              <w:rPr>
                <w:rFonts w:ascii="Calibri" w:hAnsi="Calibri"/>
                <w:b/>
                <w:color w:val="FFFFFF"/>
                <w:sz w:val="18"/>
              </w:rPr>
              <w:t>At 48 TRY/USD</w:t>
            </w:r>
          </w:p>
        </w:tc>
        <w:tc>
          <w:tcPr>
            <w:tcW w:type="dxa" w:w="2100"/>
            <w:shd w:fill="17365D"/>
            <w:shd w:fill="17365D"/>
          </w:tcPr>
          <w:p>
            <w:pPr>
              <w:pStyle w:val="FXTable"/>
              <w:keepNext w:val="0"/>
              <w:keepLines w:val="0"/>
            </w:pPr>
            <w:r>
              <w:rPr>
                <w:rFonts w:ascii="Calibri" w:hAnsi="Calibri"/>
                <w:b/>
                <w:color w:val="FFFFFF"/>
                <w:sz w:val="18"/>
              </w:rPr>
              <w:t>At 0.20 TRY/USD</w:t>
            </w:r>
          </w:p>
        </w:tc>
        <w:tc>
          <w:tcPr>
            <w:tcW w:type="dxa" w:w="3126"/>
            <w:shd w:fill="17365D"/>
            <w:shd w:fill="17365D"/>
          </w:tcPr>
          <w:p>
            <w:pPr>
              <w:pStyle w:val="FXTable"/>
              <w:keepNext w:val="0"/>
              <w:keepLines w:val="0"/>
            </w:pPr>
            <w:r>
              <w:rPr>
                <w:rFonts w:ascii="Calibri" w:hAnsi="Calibri"/>
                <w:b/>
                <w:color w:val="FFFFFF"/>
                <w:sz w:val="18"/>
              </w:rPr>
              <w:t>Immediate channel</w:t>
            </w:r>
          </w:p>
        </w:tc>
      </w:tr>
      <w:tr>
        <w:trPr>
          <w:cantSplit/>
        </w:trPr>
        <w:tc>
          <w:tcPr>
            <w:tcW w:type="dxa" w:w="1700"/>
            <w:shd w:fill="FFFFFF"/>
          </w:tcPr>
          <w:p>
            <w:pPr>
              <w:pStyle w:val="FXTable"/>
              <w:keepNext w:val="0"/>
              <w:keepLines w:val="0"/>
            </w:pPr>
            <w:r>
              <w:rPr>
                <w:rFonts w:ascii="Calibri" w:hAnsi="Calibri"/>
                <w:color w:val="222222"/>
                <w:sz w:val="18"/>
              </w:rPr>
              <w:t>$100 export receipt</w:t>
            </w:r>
          </w:p>
        </w:tc>
        <w:tc>
          <w:tcPr>
            <w:tcW w:type="dxa" w:w="2100"/>
            <w:shd w:fill="FFFFFF"/>
          </w:tcPr>
          <w:p>
            <w:pPr>
              <w:pStyle w:val="FXTable"/>
              <w:keepNext w:val="0"/>
              <w:keepLines w:val="0"/>
            </w:pPr>
            <w:r>
              <w:rPr>
                <w:rFonts w:ascii="Calibri" w:hAnsi="Calibri"/>
                <w:color w:val="222222"/>
                <w:sz w:val="18"/>
              </w:rPr>
              <w:t>TRY 4,800</w:t>
            </w:r>
          </w:p>
        </w:tc>
        <w:tc>
          <w:tcPr>
            <w:tcW w:type="dxa" w:w="2100"/>
            <w:shd w:fill="FFFFFF"/>
          </w:tcPr>
          <w:p>
            <w:pPr>
              <w:pStyle w:val="FXTable"/>
              <w:keepNext w:val="0"/>
              <w:keepLines w:val="0"/>
            </w:pPr>
            <w:r>
              <w:rPr>
                <w:rFonts w:ascii="Calibri" w:hAnsi="Calibri"/>
                <w:color w:val="222222"/>
                <w:sz w:val="18"/>
              </w:rPr>
              <w:t>TRY 20</w:t>
            </w:r>
          </w:p>
        </w:tc>
        <w:tc>
          <w:tcPr>
            <w:tcW w:type="dxa" w:w="3126"/>
            <w:shd w:fill="FFFFFF"/>
          </w:tcPr>
          <w:p>
            <w:pPr>
              <w:pStyle w:val="FXTable"/>
              <w:keepNext w:val="0"/>
              <w:keepLines w:val="0"/>
            </w:pPr>
            <w:r>
              <w:rPr>
                <w:rFonts w:ascii="Calibri" w:hAnsi="Calibri"/>
                <w:color w:val="222222"/>
                <w:sz w:val="18"/>
              </w:rPr>
              <w:t>Revenue compression if local costs stay fixed.</w:t>
            </w:r>
          </w:p>
        </w:tc>
      </w:tr>
      <w:tr>
        <w:trPr>
          <w:cantSplit/>
        </w:trPr>
        <w:tc>
          <w:tcPr>
            <w:tcW w:type="dxa" w:w="1700"/>
            <w:shd w:fill="FFFFFF"/>
          </w:tcPr>
          <w:p>
            <w:pPr>
              <w:pStyle w:val="FXTable"/>
              <w:keepNext w:val="0"/>
              <w:keepLines w:val="0"/>
            </w:pPr>
            <w:r>
              <w:rPr>
                <w:rFonts w:ascii="Calibri" w:hAnsi="Calibri"/>
                <w:color w:val="222222"/>
                <w:sz w:val="18"/>
              </w:rPr>
              <w:t>$100 import invoice</w:t>
            </w:r>
          </w:p>
        </w:tc>
        <w:tc>
          <w:tcPr>
            <w:tcW w:type="dxa" w:w="2100"/>
            <w:shd w:fill="FFFFFF"/>
          </w:tcPr>
          <w:p>
            <w:pPr>
              <w:pStyle w:val="FXTable"/>
              <w:keepNext w:val="0"/>
              <w:keepLines w:val="0"/>
            </w:pPr>
            <w:r>
              <w:rPr>
                <w:rFonts w:ascii="Calibri" w:hAnsi="Calibri"/>
                <w:color w:val="222222"/>
                <w:sz w:val="18"/>
              </w:rPr>
              <w:t>TRY 4,800</w:t>
            </w:r>
          </w:p>
        </w:tc>
        <w:tc>
          <w:tcPr>
            <w:tcW w:type="dxa" w:w="2100"/>
            <w:shd w:fill="FFFFFF"/>
          </w:tcPr>
          <w:p>
            <w:pPr>
              <w:pStyle w:val="FXTable"/>
              <w:keepNext w:val="0"/>
              <w:keepLines w:val="0"/>
            </w:pPr>
            <w:r>
              <w:rPr>
                <w:rFonts w:ascii="Calibri" w:hAnsi="Calibri"/>
                <w:color w:val="222222"/>
                <w:sz w:val="18"/>
              </w:rPr>
              <w:t>TRY 20</w:t>
            </w:r>
          </w:p>
        </w:tc>
        <w:tc>
          <w:tcPr>
            <w:tcW w:type="dxa" w:w="3126"/>
            <w:shd w:fill="FFFFFF"/>
          </w:tcPr>
          <w:p>
            <w:pPr>
              <w:pStyle w:val="FXTable"/>
              <w:keepNext w:val="0"/>
              <w:keepLines w:val="0"/>
            </w:pPr>
            <w:r>
              <w:rPr>
                <w:rFonts w:ascii="Calibri" w:hAnsi="Calibri"/>
                <w:color w:val="222222"/>
                <w:sz w:val="18"/>
              </w:rPr>
              <w:t>Payer benefits if USD invoice price stays fixed.</w:t>
            </w:r>
          </w:p>
        </w:tc>
      </w:tr>
      <w:tr>
        <w:trPr>
          <w:cantSplit/>
        </w:trPr>
        <w:tc>
          <w:tcPr>
            <w:tcW w:type="dxa" w:w="1700"/>
            <w:shd w:fill="FFFFFF"/>
          </w:tcPr>
          <w:p>
            <w:pPr>
              <w:pStyle w:val="FXTable"/>
              <w:keepNext w:val="0"/>
              <w:keepLines w:val="0"/>
            </w:pPr>
            <w:r>
              <w:rPr>
                <w:rFonts w:ascii="Calibri" w:hAnsi="Calibri"/>
                <w:color w:val="222222"/>
                <w:sz w:val="18"/>
              </w:rPr>
              <w:t>$100 USD debt service</w:t>
            </w:r>
          </w:p>
        </w:tc>
        <w:tc>
          <w:tcPr>
            <w:tcW w:type="dxa" w:w="2100"/>
            <w:shd w:fill="FFFFFF"/>
          </w:tcPr>
          <w:p>
            <w:pPr>
              <w:pStyle w:val="FXTable"/>
              <w:keepNext w:val="0"/>
              <w:keepLines w:val="0"/>
            </w:pPr>
            <w:r>
              <w:rPr>
                <w:rFonts w:ascii="Calibri" w:hAnsi="Calibri"/>
                <w:color w:val="222222"/>
                <w:sz w:val="18"/>
              </w:rPr>
              <w:t>TRY 4,800</w:t>
            </w:r>
          </w:p>
        </w:tc>
        <w:tc>
          <w:tcPr>
            <w:tcW w:type="dxa" w:w="2100"/>
            <w:shd w:fill="FFFFFF"/>
          </w:tcPr>
          <w:p>
            <w:pPr>
              <w:pStyle w:val="FXTable"/>
              <w:keepNext w:val="0"/>
              <w:keepLines w:val="0"/>
            </w:pPr>
            <w:r>
              <w:rPr>
                <w:rFonts w:ascii="Calibri" w:hAnsi="Calibri"/>
                <w:color w:val="222222"/>
                <w:sz w:val="18"/>
              </w:rPr>
              <w:t>TRY 20</w:t>
            </w:r>
          </w:p>
        </w:tc>
        <w:tc>
          <w:tcPr>
            <w:tcW w:type="dxa" w:w="3126"/>
            <w:shd w:fill="FFFFFF"/>
          </w:tcPr>
          <w:p>
            <w:pPr>
              <w:pStyle w:val="FXTable"/>
              <w:keepNext w:val="0"/>
              <w:keepLines w:val="0"/>
            </w:pPr>
            <w:r>
              <w:rPr>
                <w:rFonts w:ascii="Calibri" w:hAnsi="Calibri"/>
                <w:color w:val="222222"/>
                <w:sz w:val="18"/>
              </w:rPr>
              <w:t>TRY-funded borrower benefits; maturity and hedges matter.</w:t>
            </w:r>
          </w:p>
        </w:tc>
      </w:tr>
      <w:tr>
        <w:trPr>
          <w:cantSplit/>
        </w:trPr>
        <w:tc>
          <w:tcPr>
            <w:tcW w:type="dxa" w:w="1700"/>
            <w:shd w:fill="FFFFFF"/>
          </w:tcPr>
          <w:p>
            <w:pPr>
              <w:pStyle w:val="FXTable"/>
              <w:keepNext w:val="0"/>
              <w:keepLines w:val="0"/>
            </w:pPr>
            <w:r>
              <w:rPr>
                <w:rFonts w:ascii="Calibri" w:hAnsi="Calibri"/>
                <w:color w:val="222222"/>
                <w:sz w:val="18"/>
              </w:rPr>
              <w:t>$100 USD reserve asset</w:t>
            </w:r>
          </w:p>
        </w:tc>
        <w:tc>
          <w:tcPr>
            <w:tcW w:type="dxa" w:w="2100"/>
            <w:shd w:fill="FFFFFF"/>
          </w:tcPr>
          <w:p>
            <w:pPr>
              <w:pStyle w:val="FXTable"/>
              <w:keepNext w:val="0"/>
              <w:keepLines w:val="0"/>
            </w:pPr>
            <w:r>
              <w:rPr>
                <w:rFonts w:ascii="Calibri" w:hAnsi="Calibri"/>
                <w:color w:val="222222"/>
                <w:sz w:val="18"/>
              </w:rPr>
              <w:t>TRY 4,800</w:t>
            </w:r>
          </w:p>
        </w:tc>
        <w:tc>
          <w:tcPr>
            <w:tcW w:type="dxa" w:w="2100"/>
            <w:shd w:fill="FFFFFF"/>
          </w:tcPr>
          <w:p>
            <w:pPr>
              <w:pStyle w:val="FXTable"/>
              <w:keepNext w:val="0"/>
              <w:keepLines w:val="0"/>
            </w:pPr>
            <w:r>
              <w:rPr>
                <w:rFonts w:ascii="Calibri" w:hAnsi="Calibri"/>
                <w:color w:val="222222"/>
                <w:sz w:val="18"/>
              </w:rPr>
              <w:t>TRY 20</w:t>
            </w:r>
          </w:p>
        </w:tc>
        <w:tc>
          <w:tcPr>
            <w:tcW w:type="dxa" w:w="3126"/>
            <w:shd w:fill="FFFFFF"/>
          </w:tcPr>
          <w:p>
            <w:pPr>
              <w:pStyle w:val="FXTable"/>
              <w:keepNext w:val="0"/>
              <w:keepLines w:val="0"/>
            </w:pPr>
            <w:r>
              <w:rPr>
                <w:rFonts w:ascii="Calibri" w:hAnsi="Calibri"/>
                <w:color w:val="222222"/>
                <w:sz w:val="18"/>
              </w:rPr>
              <w:t>TRY valuation falls; still $100 before other price changes.</w:t>
            </w:r>
          </w:p>
        </w:tc>
      </w:tr>
      <w:tr>
        <w:trPr>
          <w:cantSplit/>
        </w:trPr>
        <w:tc>
          <w:tcPr>
            <w:tcW w:type="dxa" w:w="1700"/>
            <w:shd w:fill="FFFFFF"/>
          </w:tcPr>
          <w:p>
            <w:pPr>
              <w:pStyle w:val="FXTable"/>
              <w:keepNext w:val="0"/>
              <w:keepLines w:val="0"/>
            </w:pPr>
            <w:r>
              <w:rPr>
                <w:rFonts w:ascii="Calibri" w:hAnsi="Calibri"/>
                <w:color w:val="222222"/>
                <w:sz w:val="18"/>
              </w:rPr>
              <w:t>TRY 4,800 fixed wage/debt</w:t>
            </w:r>
          </w:p>
        </w:tc>
        <w:tc>
          <w:tcPr>
            <w:tcW w:type="dxa" w:w="2100"/>
            <w:shd w:fill="FFFFFF"/>
          </w:tcPr>
          <w:p>
            <w:pPr>
              <w:pStyle w:val="FXTable"/>
              <w:keepNext w:val="0"/>
              <w:keepLines w:val="0"/>
            </w:pPr>
            <w:r>
              <w:rPr>
                <w:rFonts w:ascii="Calibri" w:hAnsi="Calibri"/>
                <w:color w:val="222222"/>
                <w:sz w:val="18"/>
              </w:rPr>
              <w:t>$100 equivalent</w:t>
            </w:r>
          </w:p>
        </w:tc>
        <w:tc>
          <w:tcPr>
            <w:tcW w:type="dxa" w:w="2100"/>
            <w:shd w:fill="FFFFFF"/>
          </w:tcPr>
          <w:p>
            <w:pPr>
              <w:pStyle w:val="FXTable"/>
              <w:keepNext w:val="0"/>
              <w:keepLines w:val="0"/>
            </w:pPr>
            <w:r>
              <w:rPr>
                <w:rFonts w:ascii="Calibri" w:hAnsi="Calibri"/>
                <w:color w:val="222222"/>
                <w:sz w:val="18"/>
              </w:rPr>
              <w:t>$24,000 equivalent</w:t>
            </w:r>
          </w:p>
        </w:tc>
        <w:tc>
          <w:tcPr>
            <w:tcW w:type="dxa" w:w="3126"/>
            <w:shd w:fill="FFFFFF"/>
          </w:tcPr>
          <w:p>
            <w:pPr>
              <w:pStyle w:val="FXTable"/>
              <w:keepNext w:val="0"/>
              <w:keepLines w:val="0"/>
            </w:pPr>
            <w:r>
              <w:rPr>
                <w:rFonts w:ascii="Calibri" w:hAnsi="Calibri"/>
                <w:color w:val="222222"/>
                <w:sz w:val="18"/>
              </w:rPr>
              <w:t>USD-revenue payer can be severely squeezed.</w:t>
            </w:r>
          </w:p>
        </w:tc>
      </w:tr>
      <w:tr>
        <w:trPr>
          <w:cantSplit/>
        </w:trPr>
        <w:tc>
          <w:tcPr>
            <w:tcW w:type="dxa" w:w="1700"/>
            <w:shd w:fill="FFFFFF"/>
          </w:tcPr>
          <w:p>
            <w:pPr>
              <w:pStyle w:val="FXTable"/>
              <w:keepNext w:val="0"/>
              <w:keepLines w:val="0"/>
            </w:pPr>
            <w:r>
              <w:rPr>
                <w:rFonts w:ascii="Calibri" w:hAnsi="Calibri"/>
                <w:color w:val="222222"/>
                <w:sz w:val="18"/>
              </w:rPr>
              <w:t>Equal $100 asset and liability</w:t>
            </w:r>
          </w:p>
        </w:tc>
        <w:tc>
          <w:tcPr>
            <w:tcW w:type="dxa" w:w="2100"/>
            <w:shd w:fill="FFFFFF"/>
          </w:tcPr>
          <w:p>
            <w:pPr>
              <w:pStyle w:val="FXTable"/>
              <w:keepNext w:val="0"/>
              <w:keepLines w:val="0"/>
            </w:pPr>
            <w:r>
              <w:rPr>
                <w:rFonts w:ascii="Calibri" w:hAnsi="Calibri"/>
                <w:color w:val="222222"/>
                <w:sz w:val="18"/>
              </w:rPr>
              <w:t>Net FX zero</w:t>
            </w:r>
          </w:p>
        </w:tc>
        <w:tc>
          <w:tcPr>
            <w:tcW w:type="dxa" w:w="2100"/>
            <w:shd w:fill="FFFFFF"/>
          </w:tcPr>
          <w:p>
            <w:pPr>
              <w:pStyle w:val="FXTable"/>
              <w:keepNext w:val="0"/>
              <w:keepLines w:val="0"/>
            </w:pPr>
            <w:r>
              <w:rPr>
                <w:rFonts w:ascii="Calibri" w:hAnsi="Calibri"/>
                <w:color w:val="222222"/>
                <w:sz w:val="18"/>
              </w:rPr>
              <w:t>Net FX zero</w:t>
            </w:r>
          </w:p>
        </w:tc>
        <w:tc>
          <w:tcPr>
            <w:tcW w:type="dxa" w:w="3126"/>
            <w:shd w:fill="FFFFFF"/>
          </w:tcPr>
          <w:p>
            <w:pPr>
              <w:pStyle w:val="FXTable"/>
              <w:keepNext w:val="0"/>
              <w:keepLines w:val="0"/>
            </w:pPr>
            <w:r>
              <w:rPr>
                <w:rFonts w:ascii="Calibri" w:hAnsi="Calibri"/>
                <w:color w:val="222222"/>
                <w:sz w:val="18"/>
              </w:rPr>
              <w:t>Gross repricing is not a net gain or loss by itself.</w:t>
            </w:r>
          </w:p>
        </w:tc>
      </w:tr>
    </w:tbl>
    <w:p>
      <w:pPr>
        <w:pStyle w:val="FXBody"/>
        <w:widowControl/>
        <w:spacing w:line="252" w:lineRule="auto"/>
      </w:pPr>
      <w:r>
        <w:rPr>
          <w:rFonts w:ascii="Calibri" w:hAnsi="Calibri"/>
          <w:sz w:val="21"/>
        </w:rPr>
        <w:t>Keep the shock with its owner. The immediate TRY valuation change is (S1-S0) times that owner's net USD assets, with hedges and other currencies valued separately. Dollar revenue, FX debt, domestic debt and tax liabilities do not all belong to the same balance sheet. Treasury, CBRT, banks, exporters and households remain separate.</w:t>
      </w:r>
    </w:p>
    <w:p>
      <w:pPr>
        <w:pStyle w:val="FXBody"/>
        <w:widowControl/>
        <w:spacing w:line="252" w:lineRule="auto"/>
      </w:pPr>
      <w:r>
        <w:rPr>
          <w:rFonts w:ascii="Calibri" w:hAnsi="Calibri"/>
          <w:sz w:val="21"/>
        </w:rPr>
        <w:t>Take only the illustrative exporter: a $100 receipt against TRY 3,000 of fixed local cost gives TRY 1,800 operating cash flow before the shock and minus TRY 2,980 afterward. That isolates my TRY-protection concern. It is not an aggregate forecast. USD invoice repricing, imported inputs, volumes, layoffs, policy and hedges could materially change the outcome.</w:t>
      </w:r>
    </w:p>
    <w:p>
      <w:pPr>
        <w:pStyle w:val="FXBody"/>
        <w:widowControl/>
        <w:spacing w:line="252" w:lineRule="auto"/>
      </w:pPr>
      <w:r>
        <w:rPr>
          <w:rFonts w:ascii="Calibri" w:hAnsi="Calibri"/>
          <w:sz w:val="21"/>
        </w:rPr>
        <w:t>The fiscal balance is still indeterminate. Export-profit taxes and employment-linked receipts could shrink; USD debt service and import costs could fall; support or recapitalization spending could rise. We need actual exposures, taxable profits, tax bases, maturities, bank capital, policy responses and changing quantities to calculate the net effect. A huge USD translation of TRY GDP or cash is not new real wealth. The experiment establishes a possible shock channel. It does not establish that policy is buffering this particular rate.</w:t>
      </w:r>
    </w:p>
    <w:p>
      <w:pPr>
        <w:pStyle w:val="FXHeading2"/>
        <w:widowControl/>
      </w:pPr>
      <w:r>
        <w:rPr>
          <w:color w:val="000000"/>
        </w:rPr>
        <w:t>L.4 Trust-stack passages: preserve mechanisms, demand observations</w:t>
      </w:r>
    </w:p>
    <w:tbl>
      <w:tblPr>
        <w:tblW w:type="dxa" w:w="9026"/>
        <w:tblLayout w:type="fixed"/>
        <w:tblLook w:firstColumn="1" w:firstRow="1" w:lastColumn="0" w:lastRow="0" w:noHBand="0" w:noVBand="1" w:val="04A0"/>
        <w:tblInd w:w="80" w:type="dxa"/>
        <w:tblCellMar>
          <w:top w:w="55" w:type="dxa"/>
          <w:bottom w:w="55" w:type="dxa"/>
          <w:left w:w="80" w:type="dxa"/>
          <w:right w:w="80" w:type="dxa"/>
        </w:tblCellMar>
      </w:tblPr>
      <w:tblGrid>
        <w:gridCol w:w="2000"/>
        <w:gridCol w:w="3000"/>
        <w:gridCol w:w="4026"/>
      </w:tblGrid>
      <w:tr>
        <w:trPr>
          <w:tblHeader/>
          <w:cantSplit/>
        </w:trPr>
        <w:tc>
          <w:tcPr>
            <w:tcW w:type="dxa" w:w="2000"/>
            <w:shd w:fill="17365D"/>
            <w:shd w:fill="17365D"/>
          </w:tcPr>
          <w:p>
            <w:pPr>
              <w:pStyle w:val="FXTable"/>
              <w:keepNext w:val="0"/>
              <w:keepLines w:val="0"/>
            </w:pPr>
            <w:r>
              <w:rPr>
                <w:rFonts w:ascii="Calibri" w:hAnsi="Calibri"/>
                <w:b/>
                <w:color w:val="FFFFFF"/>
                <w:sz w:val="18"/>
              </w:rPr>
              <w:t>Layer / proposed mechanism</w:t>
            </w:r>
          </w:p>
        </w:tc>
        <w:tc>
          <w:tcPr>
            <w:tcW w:type="dxa" w:w="3000"/>
            <w:shd w:fill="17365D"/>
            <w:shd w:fill="17365D"/>
          </w:tcPr>
          <w:p>
            <w:pPr>
              <w:pStyle w:val="FXTable"/>
              <w:keepNext w:val="0"/>
              <w:keepLines w:val="0"/>
            </w:pPr>
            <w:r>
              <w:rPr>
                <w:rFonts w:ascii="Calibri" w:hAnsi="Calibri"/>
                <w:b/>
                <w:color w:val="FFFFFF"/>
                <w:sz w:val="18"/>
              </w:rPr>
              <w:t>Evidence entering the maze</w:t>
            </w:r>
          </w:p>
        </w:tc>
        <w:tc>
          <w:tcPr>
            <w:tcW w:type="dxa" w:w="4026"/>
            <w:shd w:fill="17365D"/>
            <w:shd w:fill="17365D"/>
          </w:tcPr>
          <w:p>
            <w:pPr>
              <w:pStyle w:val="FXTable"/>
              <w:keepNext w:val="0"/>
              <w:keepLines w:val="0"/>
            </w:pPr>
            <w:r>
              <w:rPr>
                <w:rFonts w:ascii="Calibri" w:hAnsi="Calibri"/>
                <w:b/>
                <w:color w:val="FFFFFF"/>
                <w:sz w:val="18"/>
              </w:rPr>
              <w:t>Adverse or rival result</w:t>
            </w:r>
          </w:p>
        </w:tc>
      </w:tr>
      <w:tr>
        <w:trPr>
          <w:cantSplit/>
        </w:trPr>
        <w:tc>
          <w:tcPr>
            <w:tcW w:type="dxa" w:w="2000"/>
            <w:shd w:fill="FFFFFF"/>
          </w:tcPr>
          <w:p>
            <w:pPr>
              <w:pStyle w:val="FXTable"/>
              <w:keepNext w:val="0"/>
              <w:keepLines w:val="0"/>
            </w:pPr>
            <w:r>
              <w:rPr>
                <w:rFonts w:ascii="Calibri" w:hAnsi="Calibri"/>
                <w:color w:val="222222"/>
                <w:sz w:val="18"/>
              </w:rPr>
              <w:t>Economic: liquidity and funding, Keynes mapping</w:t>
            </w:r>
          </w:p>
        </w:tc>
        <w:tc>
          <w:tcPr>
            <w:tcW w:type="dxa" w:w="3000"/>
            <w:shd w:fill="FFFFFF"/>
          </w:tcPr>
          <w:p>
            <w:pPr>
              <w:pStyle w:val="FXTable"/>
              <w:keepNext w:val="0"/>
              <w:keepLines w:val="0"/>
            </w:pPr>
            <w:r>
              <w:rPr>
                <w:rFonts w:ascii="Calibri" w:hAnsi="Calibri"/>
                <w:color w:val="222222"/>
                <w:sz w:val="18"/>
              </w:rPr>
              <w:t>Funding spreads, liquidity operations, credit supply and collateral terms.</w:t>
            </w:r>
          </w:p>
        </w:tc>
        <w:tc>
          <w:tcPr>
            <w:tcW w:type="dxa" w:w="4026"/>
            <w:shd w:fill="FFFFFF"/>
          </w:tcPr>
          <w:p>
            <w:pPr>
              <w:pStyle w:val="FXTable"/>
              <w:keepNext w:val="0"/>
              <w:keepLines w:val="0"/>
            </w:pPr>
            <w:r>
              <w:rPr>
                <w:rFonts w:ascii="Calibri" w:hAnsi="Calibri"/>
                <w:color w:val="222222"/>
                <w:sz w:val="18"/>
              </w:rPr>
              <w:t>Ordinary easing or risk premium explains the observation without a reserve reset.</w:t>
            </w:r>
          </w:p>
        </w:tc>
      </w:tr>
      <w:tr>
        <w:trPr>
          <w:cantSplit/>
        </w:trPr>
        <w:tc>
          <w:tcPr>
            <w:tcW w:type="dxa" w:w="2000"/>
            <w:shd w:fill="FFFFFF"/>
          </w:tcPr>
          <w:p>
            <w:pPr>
              <w:pStyle w:val="FXTable"/>
              <w:keepNext w:val="0"/>
              <w:keepLines w:val="0"/>
            </w:pPr>
            <w:r>
              <w:rPr>
                <w:rFonts w:ascii="Calibri" w:hAnsi="Calibri"/>
                <w:color w:val="222222"/>
                <w:sz w:val="18"/>
              </w:rPr>
              <w:t>Economic: relative prices, Friedman mapping</w:t>
            </w:r>
          </w:p>
        </w:tc>
        <w:tc>
          <w:tcPr>
            <w:tcW w:type="dxa" w:w="3000"/>
            <w:shd w:fill="FFFFFF"/>
          </w:tcPr>
          <w:p>
            <w:pPr>
              <w:pStyle w:val="FXTable"/>
              <w:keepNext w:val="0"/>
              <w:keepLines w:val="0"/>
            </w:pPr>
            <w:r>
              <w:rPr>
                <w:rFonts w:ascii="Calibri" w:hAnsi="Calibri"/>
                <w:color w:val="222222"/>
                <w:sz w:val="18"/>
              </w:rPr>
              <w:t>Matched CPI/PPP, trade weights, FX base and pass-through.</w:t>
            </w:r>
          </w:p>
        </w:tc>
        <w:tc>
          <w:tcPr>
            <w:tcW w:type="dxa" w:w="4026"/>
            <w:shd w:fill="FFFFFF"/>
          </w:tcPr>
          <w:p>
            <w:pPr>
              <w:pStyle w:val="FXTable"/>
              <w:keepNext w:val="0"/>
              <w:keepLines w:val="0"/>
            </w:pPr>
            <w:r>
              <w:rPr>
                <w:rFonts w:ascii="Calibri" w:hAnsi="Calibri"/>
                <w:color w:val="222222"/>
                <w:sz w:val="18"/>
              </w:rPr>
              <w:t>Inflation/productivity/risk explains displacement; nominal ratio is not residual proof.</w:t>
            </w:r>
          </w:p>
        </w:tc>
      </w:tr>
      <w:tr>
        <w:trPr>
          <w:cantSplit/>
        </w:trPr>
        <w:tc>
          <w:tcPr>
            <w:tcW w:type="dxa" w:w="2000"/>
            <w:shd w:fill="FFFFFF"/>
          </w:tcPr>
          <w:p>
            <w:pPr>
              <w:pStyle w:val="FXTable"/>
              <w:keepNext w:val="0"/>
              <w:keepLines w:val="0"/>
            </w:pPr>
            <w:r>
              <w:rPr>
                <w:rFonts w:ascii="Calibri" w:hAnsi="Calibri"/>
                <w:color w:val="222222"/>
                <w:sz w:val="18"/>
              </w:rPr>
              <w:t>Economic: reserve/recycling channels</w:t>
            </w:r>
          </w:p>
        </w:tc>
        <w:tc>
          <w:tcPr>
            <w:tcW w:type="dxa" w:w="3000"/>
            <w:shd w:fill="FFFFFF"/>
          </w:tcPr>
          <w:p>
            <w:pPr>
              <w:pStyle w:val="FXTable"/>
              <w:keepNext w:val="0"/>
              <w:keepLines w:val="0"/>
            </w:pPr>
            <w:r>
              <w:rPr>
                <w:rFonts w:ascii="Calibri" w:hAnsi="Calibri"/>
                <w:color w:val="222222"/>
                <w:sz w:val="18"/>
              </w:rPr>
              <w:t>Owner-matched transactions, reinvestment destination and custody adjustments.</w:t>
            </w:r>
          </w:p>
        </w:tc>
        <w:tc>
          <w:tcPr>
            <w:tcW w:type="dxa" w:w="4026"/>
            <w:shd w:fill="FFFFFF"/>
          </w:tcPr>
          <w:p>
            <w:pPr>
              <w:pStyle w:val="FXTable"/>
              <w:keepNext w:val="0"/>
              <w:keepLines w:val="0"/>
            </w:pPr>
            <w:r>
              <w:rPr>
                <w:rFonts w:ascii="Calibri" w:hAnsi="Calibri"/>
                <w:color w:val="222222"/>
                <w:sz w:val="18"/>
              </w:rPr>
              <w:t>Holdings fall from valuation/custody changes or funds remain in USD assets.</w:t>
            </w:r>
          </w:p>
        </w:tc>
      </w:tr>
      <w:tr>
        <w:trPr>
          <w:cantSplit/>
        </w:trPr>
        <w:tc>
          <w:tcPr>
            <w:tcW w:type="dxa" w:w="2000"/>
            <w:shd w:fill="FFFFFF"/>
          </w:tcPr>
          <w:p>
            <w:pPr>
              <w:pStyle w:val="FXTable"/>
              <w:keepNext w:val="0"/>
              <w:keepLines w:val="0"/>
            </w:pPr>
            <w:r>
              <w:rPr>
                <w:rFonts w:ascii="Calibri" w:hAnsi="Calibri"/>
                <w:color w:val="222222"/>
                <w:sz w:val="18"/>
              </w:rPr>
              <w:t>Compliance: Olson / Scott / Hirschman</w:t>
            </w:r>
          </w:p>
        </w:tc>
        <w:tc>
          <w:tcPr>
            <w:tcW w:type="dxa" w:w="3000"/>
            <w:shd w:fill="FFFFFF"/>
          </w:tcPr>
          <w:p>
            <w:pPr>
              <w:pStyle w:val="FXTable"/>
              <w:keepNext w:val="0"/>
              <w:keepLines w:val="0"/>
            </w:pPr>
            <w:r>
              <w:rPr>
                <w:rFonts w:ascii="Calibri" w:hAnsi="Calibri"/>
                <w:color w:val="222222"/>
                <w:sz w:val="18"/>
              </w:rPr>
              <w:t>Documented delays, exemptions, conversion compliance, withdrawals.</w:t>
            </w:r>
          </w:p>
        </w:tc>
        <w:tc>
          <w:tcPr>
            <w:tcW w:type="dxa" w:w="4026"/>
            <w:shd w:fill="FFFFFF"/>
          </w:tcPr>
          <w:p>
            <w:pPr>
              <w:pStyle w:val="FXTable"/>
              <w:keepNext w:val="0"/>
              <w:keepLines w:val="0"/>
            </w:pPr>
            <w:r>
              <w:rPr>
                <w:rFonts w:ascii="Calibri" w:hAnsi="Calibri"/>
                <w:color w:val="222222"/>
                <w:sz w:val="18"/>
              </w:rPr>
              <w:t>Execution remains intact; behaviour follows ordinary yields or transaction costs.</w:t>
            </w:r>
          </w:p>
        </w:tc>
      </w:tr>
      <w:tr>
        <w:trPr>
          <w:cantSplit/>
        </w:trPr>
        <w:tc>
          <w:tcPr>
            <w:tcW w:type="dxa" w:w="2000"/>
            <w:shd w:fill="FFFFFF"/>
          </w:tcPr>
          <w:p>
            <w:pPr>
              <w:pStyle w:val="FXTable"/>
              <w:keepNext w:val="0"/>
              <w:keepLines w:val="0"/>
            </w:pPr>
            <w:r>
              <w:rPr>
                <w:rFonts w:ascii="Calibri" w:hAnsi="Calibri"/>
                <w:color w:val="222222"/>
                <w:sz w:val="18"/>
              </w:rPr>
              <w:t>Fragility: Minsky / Kindleberger / Taleb</w:t>
            </w:r>
          </w:p>
        </w:tc>
        <w:tc>
          <w:tcPr>
            <w:tcW w:type="dxa" w:w="3000"/>
            <w:shd w:fill="FFFFFF"/>
          </w:tcPr>
          <w:p>
            <w:pPr>
              <w:pStyle w:val="FXTable"/>
              <w:keepNext w:val="0"/>
              <w:keepLines w:val="0"/>
            </w:pPr>
            <w:r>
              <w:rPr>
                <w:rFonts w:ascii="Calibri" w:hAnsi="Calibri"/>
                <w:color w:val="222222"/>
                <w:sz w:val="18"/>
              </w:rPr>
              <w:t>Leverage, maturity concentration, margins, depth and nonlinear responses.</w:t>
            </w:r>
          </w:p>
        </w:tc>
        <w:tc>
          <w:tcPr>
            <w:tcW w:type="dxa" w:w="4026"/>
            <w:shd w:fill="FFFFFF"/>
          </w:tcPr>
          <w:p>
            <w:pPr>
              <w:pStyle w:val="FXTable"/>
              <w:keepNext w:val="0"/>
              <w:keepLines w:val="0"/>
            </w:pPr>
            <w:r>
              <w:rPr>
                <w:rFonts w:ascii="Calibri" w:hAnsi="Calibri"/>
                <w:color w:val="222222"/>
                <w:sz w:val="18"/>
              </w:rPr>
              <w:t>Capacity absorbs shocks; no specified fragility channel appears.</w:t>
            </w:r>
          </w:p>
        </w:tc>
      </w:tr>
      <w:tr>
        <w:trPr>
          <w:cantSplit/>
        </w:trPr>
        <w:tc>
          <w:tcPr>
            <w:tcW w:type="dxa" w:w="2000"/>
            <w:shd w:fill="FFFFFF"/>
          </w:tcPr>
          <w:p>
            <w:pPr>
              <w:pStyle w:val="FXTable"/>
              <w:keepNext w:val="0"/>
              <w:keepLines w:val="0"/>
            </w:pPr>
            <w:r>
              <w:rPr>
                <w:rFonts w:ascii="Calibri" w:hAnsi="Calibri"/>
                <w:color w:val="222222"/>
                <w:sz w:val="18"/>
              </w:rPr>
              <w:t>Administration: Acemoglu / Hayek / Polanyi</w:t>
            </w:r>
          </w:p>
        </w:tc>
        <w:tc>
          <w:tcPr>
            <w:tcW w:type="dxa" w:w="3000"/>
            <w:shd w:fill="FFFFFF"/>
          </w:tcPr>
          <w:p>
            <w:pPr>
              <w:pStyle w:val="FXTable"/>
              <w:keepNext w:val="0"/>
              <w:keepLines w:val="0"/>
            </w:pPr>
            <w:r>
              <w:rPr>
                <w:rFonts w:ascii="Calibri" w:hAnsi="Calibri"/>
                <w:color w:val="222222"/>
                <w:sz w:val="18"/>
              </w:rPr>
              <w:t>Actual restrictions, access, price segmentation and enforcement.</w:t>
            </w:r>
          </w:p>
        </w:tc>
        <w:tc>
          <w:tcPr>
            <w:tcW w:type="dxa" w:w="4026"/>
            <w:shd w:fill="FFFFFF"/>
          </w:tcPr>
          <w:p>
            <w:pPr>
              <w:pStyle w:val="FXTable"/>
              <w:keepNext w:val="0"/>
              <w:keepLines w:val="0"/>
            </w:pPr>
            <w:r>
              <w:rPr>
                <w:rFonts w:ascii="Calibri" w:hAnsi="Calibri"/>
                <w:color w:val="222222"/>
                <w:sz w:val="18"/>
              </w:rPr>
              <w:t>Restrictions or premia absent, immaterial, or explained by other frictions.</w:t>
            </w:r>
          </w:p>
        </w:tc>
      </w:tr>
      <w:tr>
        <w:trPr>
          <w:cantSplit/>
        </w:trPr>
        <w:tc>
          <w:tcPr>
            <w:tcW w:type="dxa" w:w="2000"/>
            <w:shd w:fill="FFFFFF"/>
          </w:tcPr>
          <w:p>
            <w:pPr>
              <w:pStyle w:val="FXTable"/>
              <w:keepNext w:val="0"/>
              <w:keepLines w:val="0"/>
            </w:pPr>
            <w:r>
              <w:rPr>
                <w:rFonts w:ascii="Calibri" w:hAnsi="Calibri"/>
                <w:color w:val="222222"/>
                <w:sz w:val="18"/>
              </w:rPr>
              <w:t>Legitimacy: Fukuyama / Putnam / Weber</w:t>
            </w:r>
          </w:p>
        </w:tc>
        <w:tc>
          <w:tcPr>
            <w:tcW w:type="dxa" w:w="3000"/>
            <w:shd w:fill="FFFFFF"/>
          </w:tcPr>
          <w:p>
            <w:pPr>
              <w:pStyle w:val="FXTable"/>
              <w:keepNext w:val="0"/>
              <w:keepLines w:val="0"/>
            </w:pPr>
            <w:r>
              <w:rPr>
                <w:rFonts w:ascii="Calibri" w:hAnsi="Calibri"/>
                <w:color w:val="222222"/>
                <w:sz w:val="18"/>
              </w:rPr>
              <w:t>Credible survey or behavioural evidence, policy compliance and funding.</w:t>
            </w:r>
          </w:p>
        </w:tc>
        <w:tc>
          <w:tcPr>
            <w:tcW w:type="dxa" w:w="4026"/>
            <w:shd w:fill="FFFFFF"/>
          </w:tcPr>
          <w:p>
            <w:pPr>
              <w:pStyle w:val="FXTable"/>
              <w:keepNext w:val="0"/>
              <w:keepLines w:val="0"/>
            </w:pPr>
            <w:r>
              <w:rPr>
                <w:rFonts w:ascii="Calibri" w:hAnsi="Calibri"/>
                <w:color w:val="222222"/>
                <w:sz w:val="18"/>
              </w:rPr>
              <w:t>CDS-only movement or normal repricing cannot identify psychological erosion.</w:t>
            </w:r>
          </w:p>
        </w:tc>
      </w:tr>
      <w:tr>
        <w:trPr>
          <w:cantSplit/>
        </w:trPr>
        <w:tc>
          <w:tcPr>
            <w:tcW w:type="dxa" w:w="2000"/>
            <w:shd w:fill="FFFFFF"/>
          </w:tcPr>
          <w:p>
            <w:pPr>
              <w:pStyle w:val="FXTable"/>
              <w:keepNext w:val="0"/>
              <w:keepLines w:val="0"/>
            </w:pPr>
            <w:r>
              <w:rPr>
                <w:rFonts w:ascii="Calibri" w:hAnsi="Calibri"/>
                <w:color w:val="222222"/>
                <w:sz w:val="18"/>
              </w:rPr>
              <w:t>Stone Sentinel: adversarial procedure</w:t>
            </w:r>
          </w:p>
        </w:tc>
        <w:tc>
          <w:tcPr>
            <w:tcW w:type="dxa" w:w="3000"/>
            <w:shd w:fill="FFFFFF"/>
          </w:tcPr>
          <w:p>
            <w:pPr>
              <w:pStyle w:val="FXTable"/>
              <w:keepNext w:val="0"/>
              <w:keepLines w:val="0"/>
            </w:pPr>
            <w:r>
              <w:rPr>
                <w:rFonts w:ascii="Calibri" w:hAnsi="Calibri"/>
                <w:color w:val="222222"/>
                <w:sz w:val="18"/>
              </w:rPr>
              <w:t>Owner, claim, input, strongest Null, discriminator, outcome and next action.</w:t>
            </w:r>
          </w:p>
        </w:tc>
        <w:tc>
          <w:tcPr>
            <w:tcW w:type="dxa" w:w="4026"/>
            <w:shd w:fill="FFFFFF"/>
          </w:tcPr>
          <w:p>
            <w:pPr>
              <w:pStyle w:val="FXTable"/>
              <w:keepNext w:val="0"/>
              <w:keepLines w:val="0"/>
            </w:pPr>
            <w:r>
              <w:rPr>
                <w:rFonts w:ascii="Calibri" w:hAnsi="Calibri"/>
                <w:color w:val="222222"/>
                <w:sz w:val="18"/>
              </w:rPr>
              <w:t>If every outcome is confirmation, the passage fails its own procedure.</w:t>
            </w:r>
          </w:p>
        </w:tc>
      </w:tr>
    </w:tbl>
    <w:p>
      <w:pPr>
        <w:pStyle w:val="FXBody"/>
        <w:widowControl/>
        <w:spacing w:line="252" w:lineRule="auto"/>
      </w:pPr>
      <w:r>
        <w:rPr>
          <w:rFonts w:ascii="Calibri" w:hAnsi="Calibri"/>
          <w:sz w:val="21"/>
        </w:rPr>
        <w:t>These rows give the source's analogies something observable to answer to. They do not claim the thinkers jointly endorsed the model. Keep the economic defence zone and psychological stack, and keep their empirical interpretation open to challenge.</w:t>
      </w:r>
    </w:p>
    <w:p>
      <w:pPr>
        <w:pStyle w:val="FXHeading2"/>
        <w:widowControl/>
      </w:pPr>
      <w:r>
        <w:rPr>
          <w:color w:val="000000"/>
        </w:rPr>
        <w:t>L.5 Bounded watch execution and missing-series treatment</w:t>
      </w:r>
    </w:p>
    <w:p>
      <w:pPr>
        <w:pStyle w:val="FXBody"/>
        <w:widowControl/>
        <w:spacing w:line="252" w:lineRule="auto"/>
      </w:pPr>
      <w:r>
        <w:rPr>
          <w:rFonts w:ascii="Calibri" w:hAnsi="Calibri"/>
          <w:sz w:val="21"/>
        </w:rPr>
        <w:t>Do not carry August spot values into this audit as current readings. The public searches found recent favorable-direction leads for gold, CDS and DXY, but not complete canonical histories. Leads cannot establish medians. Separate the primary facts below from delayed provider snapshots. The current aggregate verdict is INDETERMINATE / ACTIVATION NOT ESTABLISHED. That does not mean every price gate is below threshold.</w:t>
      </w:r>
    </w:p>
    <w:tbl>
      <w:tblPr>
        <w:tblW w:type="dxa" w:w="9026"/>
        <w:tblLayout w:type="fixed"/>
        <w:tblLook w:firstColumn="1" w:firstRow="1" w:lastColumn="0" w:lastRow="0" w:noHBand="0" w:noVBand="1" w:val="04A0"/>
        <w:tblInd w:w="80" w:type="dxa"/>
        <w:tblCellMar>
          <w:top w:w="55" w:type="dxa"/>
          <w:bottom w:w="55" w:type="dxa"/>
          <w:left w:w="80" w:type="dxa"/>
          <w:right w:w="80" w:type="dxa"/>
        </w:tblCellMar>
      </w:tblPr>
      <w:tblGrid>
        <w:gridCol w:w="2000"/>
        <w:gridCol w:w="3000"/>
        <w:gridCol w:w="4026"/>
      </w:tblGrid>
      <w:tr>
        <w:trPr>
          <w:tblHeader/>
          <w:cantSplit/>
        </w:trPr>
        <w:tc>
          <w:tcPr>
            <w:tcW w:type="dxa" w:w="2000"/>
            <w:shd w:fill="17365D"/>
            <w:shd w:fill="17365D"/>
          </w:tcPr>
          <w:p>
            <w:pPr>
              <w:pStyle w:val="FXTable"/>
              <w:keepNext w:val="0"/>
              <w:keepLines w:val="0"/>
            </w:pPr>
            <w:r>
              <w:rPr>
                <w:rFonts w:ascii="Calibri" w:hAnsi="Calibri"/>
                <w:b/>
                <w:color w:val="FFFFFF"/>
                <w:sz w:val="18"/>
              </w:rPr>
              <w:t>Gate</w:t>
            </w:r>
          </w:p>
        </w:tc>
        <w:tc>
          <w:tcPr>
            <w:tcW w:type="dxa" w:w="3000"/>
            <w:shd w:fill="17365D"/>
            <w:shd w:fill="17365D"/>
          </w:tcPr>
          <w:p>
            <w:pPr>
              <w:pStyle w:val="FXTable"/>
              <w:keepNext w:val="0"/>
              <w:keepLines w:val="0"/>
            </w:pPr>
            <w:r>
              <w:rPr>
                <w:rFonts w:ascii="Calibri" w:hAnsi="Calibri"/>
                <w:b/>
                <w:color w:val="FFFFFF"/>
                <w:sz w:val="18"/>
              </w:rPr>
              <w:t>Audit evidence</w:t>
            </w:r>
          </w:p>
        </w:tc>
        <w:tc>
          <w:tcPr>
            <w:tcW w:type="dxa" w:w="4026"/>
            <w:shd w:fill="17365D"/>
            <w:shd w:fill="17365D"/>
          </w:tcPr>
          <w:p>
            <w:pPr>
              <w:pStyle w:val="FXTable"/>
              <w:keepNext w:val="0"/>
              <w:keepLines w:val="0"/>
            </w:pPr>
            <w:r>
              <w:rPr>
                <w:rFonts w:ascii="Calibri" w:hAnsi="Calibri"/>
                <w:b/>
                <w:color w:val="FFFFFF"/>
                <w:sz w:val="18"/>
              </w:rPr>
              <w:t>Persistence / result</w:t>
            </w:r>
          </w:p>
        </w:tc>
      </w:tr>
      <w:tr>
        <w:trPr>
          <w:cantSplit/>
        </w:trPr>
        <w:tc>
          <w:tcPr>
            <w:tcW w:type="dxa" w:w="2000"/>
            <w:shd w:fill="FFFFFF"/>
          </w:tcPr>
          <w:p>
            <w:pPr>
              <w:pStyle w:val="FXTable"/>
              <w:keepNext w:val="0"/>
              <w:keepLines w:val="0"/>
            </w:pPr>
            <w:r>
              <w:rPr>
                <w:rFonts w:ascii="Calibri" w:hAnsi="Calibri"/>
                <w:color w:val="222222"/>
                <w:sz w:val="18"/>
              </w:rPr>
              <w:t>DXY &lt;100 with falling four-week median</w:t>
            </w:r>
          </w:p>
        </w:tc>
        <w:tc>
          <w:tcPr>
            <w:tcW w:type="dxa" w:w="3000"/>
            <w:shd w:fill="FFFFFF"/>
          </w:tcPr>
          <w:p>
            <w:pPr>
              <w:pStyle w:val="FXTable"/>
              <w:keepNext w:val="0"/>
              <w:keepLines w:val="0"/>
            </w:pPr>
            <w:r>
              <w:rPr>
                <w:rFonts w:ascii="Calibri" w:hAnsi="Calibri"/>
                <w:color w:val="222222"/>
                <w:sz w:val="18"/>
              </w:rPr>
              <w:t>Recent provider indications exist; full canonical ICE close history absent. FRED broad-dollar index is a different series.</w:t>
            </w:r>
          </w:p>
        </w:tc>
        <w:tc>
          <w:tcPr>
            <w:tcW w:type="dxa" w:w="4026"/>
            <w:shd w:fill="FFFFFF"/>
          </w:tcPr>
          <w:p>
            <w:pPr>
              <w:pStyle w:val="FXTable"/>
              <w:keepNext w:val="0"/>
              <w:keepLines w:val="0"/>
            </w:pPr>
            <w:r>
              <w:rPr>
                <w:rFonts w:ascii="Calibri" w:hAnsi="Calibri"/>
                <w:color w:val="222222"/>
                <w:sz w:val="18"/>
              </w:rPr>
              <w:t>Indeterminate; do not substitute a differently based index.</w:t>
            </w:r>
          </w:p>
        </w:tc>
      </w:tr>
      <w:tr>
        <w:trPr>
          <w:cantSplit/>
        </w:trPr>
        <w:tc>
          <w:tcPr>
            <w:tcW w:type="dxa" w:w="2000"/>
            <w:shd w:fill="FFFFFF"/>
          </w:tcPr>
          <w:p>
            <w:pPr>
              <w:pStyle w:val="FXTable"/>
              <w:keepNext w:val="0"/>
              <w:keepLines w:val="0"/>
            </w:pPr>
            <w:r>
              <w:rPr>
                <w:rFonts w:ascii="Calibri" w:hAnsi="Calibri"/>
                <w:color w:val="222222"/>
                <w:sz w:val="18"/>
              </w:rPr>
              <w:t>Gold &gt;$4,200 four-week median</w:t>
            </w:r>
          </w:p>
        </w:tc>
        <w:tc>
          <w:tcPr>
            <w:tcW w:type="dxa" w:w="3000"/>
            <w:shd w:fill="FFFFFF"/>
          </w:tcPr>
          <w:p>
            <w:pPr>
              <w:pStyle w:val="FXTable"/>
              <w:keepNext w:val="0"/>
              <w:keepLines w:val="0"/>
            </w:pPr>
            <w:r>
              <w:rPr>
                <w:rFonts w:ascii="Calibri" w:hAnsi="Calibri"/>
                <w:color w:val="222222"/>
                <w:sz w:val="18"/>
              </w:rPr>
              <w:t>Recent reports exceed the level; WGC states historical LBMA data availability is restricted [S8].</w:t>
            </w:r>
          </w:p>
        </w:tc>
        <w:tc>
          <w:tcPr>
            <w:tcW w:type="dxa" w:w="4026"/>
            <w:shd w:fill="FFFFFF"/>
          </w:tcPr>
          <w:p>
            <w:pPr>
              <w:pStyle w:val="FXTable"/>
              <w:keepNext w:val="0"/>
              <w:keepLines w:val="0"/>
            </w:pPr>
            <w:r>
              <w:rPr>
                <w:rFonts w:ascii="Calibri" w:hAnsi="Calibri"/>
                <w:color w:val="222222"/>
                <w:sz w:val="18"/>
              </w:rPr>
              <w:t>Point strength is not sustained confirmation; instrument and complete median remain missing.</w:t>
            </w:r>
          </w:p>
        </w:tc>
      </w:tr>
      <w:tr>
        <w:trPr>
          <w:cantSplit/>
        </w:trPr>
        <w:tc>
          <w:tcPr>
            <w:tcW w:type="dxa" w:w="2000"/>
            <w:shd w:fill="FFFFFF"/>
          </w:tcPr>
          <w:p>
            <w:pPr>
              <w:pStyle w:val="FXTable"/>
              <w:keepNext w:val="0"/>
              <w:keepLines w:val="0"/>
            </w:pPr>
            <w:r>
              <w:rPr>
                <w:rFonts w:ascii="Calibri" w:hAnsi="Calibri"/>
                <w:color w:val="222222"/>
                <w:sz w:val="18"/>
              </w:rPr>
              <w:t>TRY CDS &lt;250 bp four-week median</w:t>
            </w:r>
          </w:p>
        </w:tc>
        <w:tc>
          <w:tcPr>
            <w:tcW w:type="dxa" w:w="3000"/>
            <w:shd w:fill="FFFFFF"/>
          </w:tcPr>
          <w:p>
            <w:pPr>
              <w:pStyle w:val="FXTable"/>
              <w:keepNext w:val="0"/>
              <w:keepLines w:val="0"/>
            </w:pPr>
            <w:r>
              <w:rPr>
                <w:rFonts w:ascii="Calibri" w:hAnsi="Calibri"/>
                <w:color w:val="222222"/>
                <w:sz w:val="18"/>
              </w:rPr>
              <w:t>Provider reports 218.68 bp dated 5 September 2026; delayed, non-official [S9].</w:t>
            </w:r>
          </w:p>
        </w:tc>
        <w:tc>
          <w:tcPr>
            <w:tcW w:type="dxa" w:w="4026"/>
            <w:shd w:fill="FFFFFF"/>
          </w:tcPr>
          <w:p>
            <w:pPr>
              <w:pStyle w:val="FXTable"/>
              <w:keepNext w:val="0"/>
              <w:keepLines w:val="0"/>
            </w:pPr>
            <w:r>
              <w:rPr>
                <w:rFonts w:ascii="Calibri" w:hAnsi="Calibri"/>
                <w:color w:val="222222"/>
                <w:sz w:val="18"/>
              </w:rPr>
              <w:t>Point favorable; four-week median not established.</w:t>
            </w:r>
          </w:p>
        </w:tc>
      </w:tr>
      <w:tr>
        <w:trPr>
          <w:cantSplit/>
        </w:trPr>
        <w:tc>
          <w:tcPr>
            <w:tcW w:type="dxa" w:w="2000"/>
            <w:shd w:fill="FFFFFF"/>
          </w:tcPr>
          <w:p>
            <w:pPr>
              <w:pStyle w:val="FXTable"/>
              <w:keepNext w:val="0"/>
              <w:keepLines w:val="0"/>
            </w:pPr>
            <w:r>
              <w:rPr>
                <w:rFonts w:ascii="Calibri" w:hAnsi="Calibri"/>
                <w:color w:val="222222"/>
                <w:sz w:val="18"/>
              </w:rPr>
              <w:t>USD/TRY orderly corridor</w:t>
            </w:r>
          </w:p>
        </w:tc>
        <w:tc>
          <w:tcPr>
            <w:tcW w:type="dxa" w:w="3000"/>
            <w:shd w:fill="FFFFFF"/>
          </w:tcPr>
          <w:p>
            <w:pPr>
              <w:pStyle w:val="FXTable"/>
              <w:keepNext w:val="0"/>
              <w:keepLines w:val="0"/>
            </w:pPr>
            <w:r>
              <w:rPr>
                <w:rFonts w:ascii="Calibri" w:hAnsi="Calibri"/>
                <w:color w:val="222222"/>
                <w:sz w:val="18"/>
              </w:rPr>
              <w:t>CBRT indicative-rate channel available [S10]; rolling corridor centre and calibrated acceleration specification incomplete.</w:t>
            </w:r>
          </w:p>
        </w:tc>
        <w:tc>
          <w:tcPr>
            <w:tcW w:type="dxa" w:w="4026"/>
            <w:shd w:fill="FFFFFF"/>
          </w:tcPr>
          <w:p>
            <w:pPr>
              <w:pStyle w:val="FXTable"/>
              <w:keepNext w:val="0"/>
              <w:keepLines w:val="0"/>
            </w:pPr>
            <w:r>
              <w:rPr>
                <w:rFonts w:ascii="Calibri" w:hAnsi="Calibri"/>
                <w:color w:val="222222"/>
                <w:sz w:val="18"/>
              </w:rPr>
              <w:t>Indeterminate for executable corridor test; no invented index.</w:t>
            </w:r>
          </w:p>
        </w:tc>
      </w:tr>
      <w:tr>
        <w:trPr>
          <w:cantSplit/>
        </w:trPr>
        <w:tc>
          <w:tcPr>
            <w:tcW w:type="dxa" w:w="2000"/>
            <w:shd w:fill="FFFFFF"/>
          </w:tcPr>
          <w:p>
            <w:pPr>
              <w:pStyle w:val="FXTable"/>
              <w:keepNext w:val="0"/>
              <w:keepLines w:val="0"/>
            </w:pPr>
            <w:r>
              <w:rPr>
                <w:rFonts w:ascii="Calibri" w:hAnsi="Calibri"/>
                <w:color w:val="222222"/>
                <w:sz w:val="18"/>
              </w:rPr>
              <w:t>Realized policy / auxiliary</w:t>
            </w:r>
          </w:p>
        </w:tc>
        <w:tc>
          <w:tcPr>
            <w:tcW w:type="dxa" w:w="3000"/>
            <w:shd w:fill="FFFFFF"/>
          </w:tcPr>
          <w:p>
            <w:pPr>
              <w:pStyle w:val="FXTable"/>
              <w:keepNext w:val="0"/>
              <w:keepLines w:val="0"/>
            </w:pPr>
            <w:r>
              <w:rPr>
                <w:rFonts w:ascii="Calibri" w:hAnsi="Calibri"/>
                <w:color w:val="222222"/>
                <w:sz w:val="18"/>
              </w:rPr>
              <w:t>July FOMC decision independently verified [S5]; CBRT August reserve/deposit observations verified [S3].</w:t>
            </w:r>
          </w:p>
        </w:tc>
        <w:tc>
          <w:tcPr>
            <w:tcW w:type="dxa" w:w="4026"/>
            <w:shd w:fill="FFFFFF"/>
          </w:tcPr>
          <w:p>
            <w:pPr>
              <w:pStyle w:val="FXTable"/>
              <w:keepNext w:val="0"/>
              <w:keepLines w:val="0"/>
            </w:pPr>
            <w:r>
              <w:rPr>
                <w:rFonts w:ascii="Calibri" w:hAnsi="Calibri"/>
                <w:color w:val="222222"/>
                <w:sz w:val="18"/>
              </w:rPr>
              <w:t>Useful mechanism evidence; cannot replace a missing primary leg.</w:t>
            </w:r>
          </w:p>
        </w:tc>
      </w:tr>
      <w:tr>
        <w:trPr>
          <w:cantSplit/>
        </w:trPr>
        <w:tc>
          <w:tcPr>
            <w:tcW w:type="dxa" w:w="2000"/>
            <w:shd w:fill="FFFFFF"/>
          </w:tcPr>
          <w:p>
            <w:pPr>
              <w:pStyle w:val="FXTable"/>
              <w:keepNext w:val="0"/>
              <w:keepLines w:val="0"/>
            </w:pPr>
            <w:r>
              <w:rPr>
                <w:rFonts w:ascii="Calibri" w:hAnsi="Calibri"/>
                <w:color w:val="222222"/>
                <w:sz w:val="18"/>
              </w:rPr>
              <w:t>Full falsification / temporal decay</w:t>
            </w:r>
          </w:p>
        </w:tc>
        <w:tc>
          <w:tcPr>
            <w:tcW w:type="dxa" w:w="3000"/>
            <w:shd w:fill="FFFFFF"/>
          </w:tcPr>
          <w:p>
            <w:pPr>
              <w:pStyle w:val="FXTable"/>
              <w:keepNext w:val="0"/>
              <w:keepLines w:val="0"/>
            </w:pPr>
            <w:r>
              <w:rPr>
                <w:rFonts w:ascii="Calibri" w:hAnsi="Calibri"/>
                <w:color w:val="222222"/>
                <w:sz w:val="18"/>
              </w:rPr>
              <w:t>Complete corroborating time series and six-month state ledger absent.</w:t>
            </w:r>
          </w:p>
        </w:tc>
        <w:tc>
          <w:tcPr>
            <w:tcW w:type="dxa" w:w="4026"/>
            <w:shd w:fill="FFFFFF"/>
          </w:tcPr>
          <w:p>
            <w:pPr>
              <w:pStyle w:val="FXTable"/>
              <w:keepNext w:val="0"/>
              <w:keepLines w:val="0"/>
            </w:pPr>
            <w:r>
              <w:rPr>
                <w:rFonts w:ascii="Calibri" w:hAnsi="Calibri"/>
                <w:color w:val="222222"/>
                <w:sz w:val="18"/>
              </w:rPr>
              <w:t>No fresh full falsification or suspension verdict; historical status is not proof of current survival.</w:t>
            </w:r>
          </w:p>
        </w:tc>
      </w:tr>
    </w:tbl>
    <w:p>
      <w:pPr>
        <w:pStyle w:val="FXBody"/>
        <w:widowControl/>
        <w:spacing w:line="252" w:lineRule="auto"/>
      </w:pPr>
      <w:r>
        <w:rPr>
          <w:rFonts w:ascii="Calibri" w:hAnsi="Calibri"/>
          <w:sz w:val="21"/>
        </w:rPr>
        <w:t>For the next executable cycle, name one gold instrument and fixing/close, the ICE DXY close series, the CDS provider/contract, the cycle date and a corridor formula. Do that before calculating. “Four-week” still leaves daily 20-session versus weekly sampling ambiguous; this revision does not quietly choose one and rewrite history. Store the observations, calculate the declared medians and apply the unchanged thresholds. Without the inputs, finish Indeterminate.</w:t>
      </w:r>
    </w:p>
    <w:p>
      <w:pPr>
        <w:pStyle w:val="FXHeading2"/>
        <w:widowControl/>
      </w:pPr>
      <w:r>
        <w:rPr>
          <w:color w:val="000000"/>
        </w:rPr>
        <w:t>L.6 Repair register and retained limits</w:t>
      </w:r>
    </w:p>
    <w:p>
      <w:pPr>
        <w:pStyle w:val="FXBody"/>
        <w:widowControl/>
        <w:spacing w:line="252" w:lineRule="auto"/>
      </w:pPr>
      <w:r>
        <w:rPr>
          <w:rFonts w:ascii="Calibri" w:hAnsi="Calibri"/>
          <w:sz w:val="21"/>
        </w:rPr>
        <w:t>Author-intent repair: restore TRY protection and the roughly 11-times hypothesis. Buffett means dynamic upward rounding, with no crossing trigger. Keep the extreme FX transform as a fiscal experiment. Attribute my original $4,200 irony landmark separately from the assistant-added persistence rule I accepted.</w:t>
      </w:r>
    </w:p>
    <w:p>
      <w:pPr>
        <w:pStyle w:val="FXBody"/>
        <w:widowControl/>
        <w:spacing w:line="252" w:lineRule="auto"/>
      </w:pPr>
      <w:r>
        <w:rPr>
          <w:rFonts w:ascii="Calibri" w:hAnsi="Calibri"/>
          <w:sz w:val="21"/>
        </w:rPr>
        <w:t>Mathematical repair: CNY revenue sign corrected; Saudi revenue owners separated from SAMA; inconsistent cross-frame alpha/PDCR tests suspended. Positive price ratios are no longer tested through a meaningless sign of undefined m. Gamma retains its historical algebra with explicit domain and missing-aggregation limits.</w:t>
      </w:r>
    </w:p>
    <w:p>
      <w:pPr>
        <w:pStyle w:val="FXBody"/>
        <w:widowControl/>
        <w:spacing w:line="252" w:lineRule="auto"/>
      </w:pPr>
      <w:r>
        <w:rPr>
          <w:rFonts w:ascii="Calibri" w:hAnsi="Calibri"/>
          <w:sz w:val="21"/>
        </w:rPr>
        <w:t>Evidence repair: automatic Japan Treasury liquidation and m-squared validation withdrawn; holdings changes are not transactions; COFER is not a gold-purchase series; global Omega cannot silently become a Saudi flow. Historical snapshot material remains dated and unrefreshed unless explicitly sourced here.</w:t>
      </w:r>
    </w:p>
    <w:p>
      <w:pPr>
        <w:pStyle w:val="FXBody"/>
        <w:widowControl/>
        <w:spacing w:line="252" w:lineRule="auto"/>
      </w:pPr>
      <w:r>
        <w:rPr>
          <w:rFonts w:ascii="Calibri" w:hAnsi="Calibri"/>
          <w:sz w:val="21"/>
        </w:rPr>
        <w:t>Consistency repair: gold-band interpretations cannot override attribution; fixed-peg price is not total flow capture; unsupported 0.80-0.90 capture removed; numerical release landmarks remain legacy hypotheses. Temporal-decay rationale now agrees with the existing AND/corroboration rules without claiming a guaranteed thesis expiry.</w:t>
      </w:r>
    </w:p>
    <w:p>
      <w:pPr>
        <w:pStyle w:val="FXBody"/>
        <w:widowControl/>
        <w:spacing w:line="252" w:lineRule="auto"/>
      </w:pPr>
      <w:r>
        <w:rPr>
          <w:rFonts w:ascii="Calibri" w:hAnsi="Calibri"/>
          <w:sz w:val="21"/>
        </w:rPr>
        <w:t>Preserve the adversarial design: the initially empty layer, economic donor mappings, every psychological trust-stack donor, three routes, C7/A* separation and invariant Milo allowance. Defeating an overbroad objection does not prove a stronger claim. Missing data, real contradictions and deliberately open tests keep different statuses.</w:t>
      </w:r>
    </w:p>
    <w:p>
      <w:pPr>
        <w:pStyle w:val="FXBody"/>
        <w:widowControl/>
        <w:spacing w:line="252" w:lineRule="auto"/>
      </w:pPr>
      <w:r>
        <w:rPr>
          <w:rFonts w:ascii="Calibri" w:hAnsi="Calibri"/>
          <w:sz w:val="21"/>
        </w:rPr>
        <w:t>Still open: a calibrated release operator, a verified shadow baseline, out-of-sample forecasting scores, complete primary persistence histories and aggregate fiscal exposure data. These are recorded outcomes. We do not fill them with invented numbers. The audit is complete within its stated scope; the empirical research remains open.</w:t>
      </w:r>
    </w:p>
    <w:p>
      <w:pPr>
        <w:pStyle w:val="FXHeading2"/>
        <w:widowControl/>
      </w:pPr>
      <w:r>
        <w:rPr>
          <w:color w:val="000000"/>
        </w:rPr>
        <w:t>L.7 Sources retrieved for this audit</w:t>
      </w:r>
    </w:p>
    <w:p>
      <w:pPr>
        <w:pStyle w:val="FXNote"/>
        <w:widowControl/>
        <w:spacing w:line="252" w:lineRule="auto"/>
      </w:pPr>
      <w:r>
        <w:rPr>
          <w:rFonts w:ascii="Calibri" w:hAnsi="Calibri"/>
          <w:sz w:val="19"/>
        </w:rPr>
        <w:t xml:space="preserve">[S1] GovInfo, S.954 introduced 11 March 2025, section 9. Introduced text verifies design, not current enactment. </w:t>
      </w:r>
      <w:hyperlink r:id="rId11">
        <w:r>
          <w:rPr>
            <w:color w:val="0563C1"/>
          </w:rPr>
          <w:t>https://www.govinfo.gov/content/pkg/BILLS-119s954is/html/BILLS-119s954is.htm</w:t>
        </w:r>
      </w:hyperlink>
    </w:p>
    <w:p>
      <w:pPr>
        <w:pStyle w:val="FXNote"/>
        <w:widowControl/>
        <w:spacing w:line="252" w:lineRule="auto"/>
      </w:pPr>
      <w:r>
        <w:rPr>
          <w:rFonts w:ascii="Calibri" w:hAnsi="Calibri"/>
          <w:sz w:val="19"/>
        </w:rPr>
        <w:t xml:space="preserve">[S2] Federal Reserve staff, Official Reserve Revaluations, 1 August 2025. </w:t>
      </w:r>
      <w:hyperlink r:id="rId12">
        <w:r>
          <w:rPr>
            <w:color w:val="0563C1"/>
          </w:rPr>
          <w:t>https://www.federalreserve.gov/econres/notes/feds-notes/official-reserve-revaluations-the-international-experience-20250801.html</w:t>
        </w:r>
      </w:hyperlink>
    </w:p>
    <w:p>
      <w:pPr>
        <w:pStyle w:val="FXNote"/>
        <w:widowControl/>
        <w:spacing w:line="252" w:lineRule="auto"/>
      </w:pPr>
      <w:r>
        <w:rPr>
          <w:rFonts w:ascii="Calibri" w:hAnsi="Calibri"/>
          <w:sz w:val="19"/>
        </w:rPr>
        <w:t xml:space="preserve">[S3] CBRT, August 2026 Inflation Report briefing; reserve observations dated 12 August. </w:t>
      </w:r>
      <w:hyperlink r:id="rId13">
        <w:r>
          <w:rPr>
            <w:color w:val="0563C1"/>
          </w:rPr>
          <w:t>https://www.tcmb.gov.tr/wps/wcm/connect/en/tcmb%2Ben/main%2Bmenu/announcements/remarks%2Bby%2Bgovernor/2026/speechg13_08_2026</w:t>
        </w:r>
      </w:hyperlink>
    </w:p>
    <w:p>
      <w:pPr>
        <w:pStyle w:val="FXNote"/>
        <w:widowControl/>
        <w:spacing w:line="252" w:lineRule="auto"/>
      </w:pPr>
      <w:r>
        <w:rPr>
          <w:rFonts w:ascii="Calibri" w:hAnsi="Calibri"/>
          <w:sz w:val="19"/>
        </w:rPr>
        <w:t xml:space="preserve">[S4] IMF, 2025 Article IV conclusion, published 13 February 2026. </w:t>
      </w:r>
      <w:hyperlink r:id="rId14">
        <w:r>
          <w:rPr>
            <w:color w:val="0563C1"/>
          </w:rPr>
          <w:t>https://www.imf.org/en/news/articles/2026/02/13/pr-26047-turkiye-imf-executive-board-concludes-2025-article-iv-consultation</w:t>
        </w:r>
      </w:hyperlink>
    </w:p>
    <w:p>
      <w:pPr>
        <w:pStyle w:val="FXNote"/>
        <w:widowControl/>
        <w:spacing w:line="252" w:lineRule="auto"/>
      </w:pPr>
      <w:r>
        <w:rPr>
          <w:rFonts w:ascii="Calibri" w:hAnsi="Calibri"/>
          <w:sz w:val="19"/>
        </w:rPr>
        <w:t xml:space="preserve">[S5] Federal Reserve, 29 July 2026 FOMC statement. </w:t>
      </w:r>
      <w:hyperlink r:id="rId15">
        <w:r>
          <w:rPr>
            <w:color w:val="0563C1"/>
          </w:rPr>
          <w:t>https://www.federalreserve.gov/newsevents/pressreleases/monetary20260729a.htm</w:t>
        </w:r>
      </w:hyperlink>
    </w:p>
    <w:p>
      <w:pPr>
        <w:pStyle w:val="FXNote"/>
        <w:widowControl/>
        <w:spacing w:line="252" w:lineRule="auto"/>
      </w:pPr>
      <w:r>
        <w:rPr>
          <w:rFonts w:ascii="Calibri" w:hAnsi="Calibri"/>
          <w:sz w:val="19"/>
        </w:rPr>
        <w:t xml:space="preserve">[S6] Federal Reserve Bank of St Louis, parity history, 4 August 2022. </w:t>
      </w:r>
      <w:hyperlink r:id="rId16">
        <w:r>
          <w:rPr>
            <w:color w:val="0563C1"/>
          </w:rPr>
          <w:t>https://fredblog.stlouisfed.org/2022/08/the-dollar-and-euro-exchange-rates-break-even/</w:t>
        </w:r>
      </w:hyperlink>
    </w:p>
    <w:p>
      <w:pPr>
        <w:pStyle w:val="FXNote"/>
        <w:widowControl/>
        <w:spacing w:line="252" w:lineRule="auto"/>
      </w:pPr>
      <w:r>
        <w:rPr>
          <w:rFonts w:ascii="Calibri" w:hAnsi="Calibri"/>
          <w:sz w:val="19"/>
        </w:rPr>
        <w:t xml:space="preserve">[S7] Trump Bloomberg interview transcript, publication dated 16 July 2024. </w:t>
      </w:r>
      <w:hyperlink r:id="rId17">
        <w:r>
          <w:rPr>
            <w:color w:val="0563C1"/>
          </w:rPr>
          <w:t>https://rollcall.com/factbase/trump/transcript/donald-trump-interview-bloomberg-businessweek-july-16-2024/</w:t>
        </w:r>
      </w:hyperlink>
    </w:p>
    <w:p>
      <w:pPr>
        <w:pStyle w:val="FXNote"/>
        <w:widowControl/>
        <w:spacing w:line="252" w:lineRule="auto"/>
      </w:pPr>
      <w:r>
        <w:rPr>
          <w:rFonts w:ascii="Calibri" w:hAnsi="Calibri"/>
          <w:sz w:val="19"/>
        </w:rPr>
        <w:t xml:space="preserve">[S8] World Gold Council, gold-price data availability. </w:t>
      </w:r>
      <w:hyperlink r:id="rId18">
        <w:r>
          <w:rPr>
            <w:color w:val="0563C1"/>
          </w:rPr>
          <w:t>https://www.gold.org/goldhub/data/gold-prices</w:t>
        </w:r>
      </w:hyperlink>
    </w:p>
    <w:p>
      <w:pPr>
        <w:pStyle w:val="FXNote"/>
        <w:widowControl/>
        <w:spacing w:line="252" w:lineRule="auto"/>
      </w:pPr>
      <w:r>
        <w:rPr>
          <w:rFonts w:ascii="Calibri" w:hAnsi="Calibri"/>
          <w:sz w:val="19"/>
        </w:rPr>
        <w:t xml:space="preserve">[S9] World Government Bonds, Turkey 5-year CDS, provider snapshot; not an official live series. </w:t>
      </w:r>
      <w:hyperlink r:id="rId19">
        <w:r>
          <w:rPr>
            <w:color w:val="0563C1"/>
          </w:rPr>
          <w:t>https://www.worldgovernmentbonds.com/cds-historical-data/turkey/5-year/</w:t>
        </w:r>
      </w:hyperlink>
    </w:p>
    <w:p>
      <w:pPr>
        <w:pStyle w:val="FXNote"/>
        <w:widowControl/>
        <w:spacing w:line="252" w:lineRule="auto"/>
      </w:pPr>
      <w:r>
        <w:rPr>
          <w:rFonts w:ascii="Calibri" w:hAnsi="Calibri"/>
          <w:sz w:val="19"/>
        </w:rPr>
        <w:t xml:space="preserve">[S10] CBRT, indicative exchange-rate archive. </w:t>
      </w:r>
      <w:hyperlink r:id="rId20">
        <w:r>
          <w:rPr>
            <w:color w:val="0563C1"/>
          </w:rPr>
          <w:t>https://tcmb.gov.tr/kurlar/kurlar_en.html</w:t>
        </w:r>
      </w:hyperlink>
    </w:p>
    <w:p>
      <w:pPr>
        <w:pStyle w:val="FXHeading1"/>
        <w:keepNext/>
        <w:keepLines w:val="0"/>
        <w:widowControl/>
      </w:pPr>
      <w:r>
        <w:rPr>
          <w:color w:val="000000"/>
        </w:rPr>
        <w:t xml:space="preserve">Disclaimer</w:t>
      </w:r>
    </w:p>
    <w:p>
      <w:pPr>
        <w:pStyle w:val="FXBody"/>
        <w:keepLines w:val="0"/>
        <w:widowControl/>
        <w:spacing w:after="160" w:line="252" w:lineRule="auto"/>
        <w:jc w:val="both"/>
      </w:pPr>
      <w:r>
        <w:rPr>
          <w:rFonts w:ascii="Calibri" w:hAnsi="Calibri"/>
          <w:b/>
          <w:bCs/>
          <w:sz w:val="21"/>
        </w:rPr>
        <w:t>PSA / Self-Mutation Gate: This is a public-data interpretation model, not investment instruction. Bring your own data, sizing, risk limits and falsification rules. If you use the framework to justify leverage, copy blindly or abandon your judgment, you have already misused it.</w:t>
      </w:r>
      <w:r>
        <w:rPr>
          <w:rFonts w:ascii="Calibri" w:hAnsi="Calibri"/>
          <w:b w:val="false"/>
          <w:bCs w:val="false"/>
          <w:sz w:val="21"/>
        </w:rPr>
      </w:r>
    </w:p>
    <w:p>
      <w:pPr>
        <w:pStyle w:val="FXBody"/>
        <w:keepLines w:val="0"/>
        <w:widowControl/>
        <w:spacing w:after="160" w:line="252" w:lineRule="auto"/>
        <w:jc w:val="both"/>
      </w:pPr>
      <w:r>
        <w:rPr>
          <w:rFonts w:ascii="Calibri" w:hAnsi="Calibri"/>
          <w:b/>
          <w:bCs/>
          <w:sz w:val="21"/>
        </w:rPr>
        <w:t xml:space="preserve">Legal Status, Jurisdiction, and Reader Responsibility Notice</w:t>
      </w:r>
    </w:p>
    <w:p>
      <w:pPr>
        <w:pStyle w:val="FXBody"/>
        <w:keepLines w:val="0"/>
        <w:widowControl/>
        <w:spacing w:after="160" w:line="252" w:lineRule="auto"/>
        <w:jc w:val="both"/>
      </w:pPr>
      <w:r>
        <w:rPr>
          <w:rFonts w:ascii="Calibri" w:hAnsi="Calibri"/>
          <w:b w:val="false"/>
          <w:bCs w:val="false"/>
          <w:sz w:val="21"/>
        </w:rPr>
        <w:t xml:space="preserve">This document is a research framework and public-data interpretation model. It is not legal, financial, investment, tax, accounting, regulatory, or professional advice. Nothing in this document is tailored to any reader’s personal financial situation, objectives, risk tolerance, jurisdiction, tax status, liquidity needs, legal obligations, or regulatory classification.</w:t>
      </w:r>
    </w:p>
    <w:p>
      <w:pPr>
        <w:pStyle w:val="FXBody"/>
        <w:keepLines w:val="0"/>
        <w:widowControl/>
        <w:spacing w:after="160" w:line="252" w:lineRule="auto"/>
        <w:jc w:val="both"/>
      </w:pPr>
      <w:r>
        <w:rPr>
          <w:rFonts w:ascii="Calibri" w:hAnsi="Calibri"/>
          <w:b w:val="false"/>
          <w:bCs w:val="false"/>
          <w:sz w:val="21"/>
        </w:rPr>
        <w:t xml:space="preserve">The author is not acting as a financial adviser, investment adviser, portfolio manager, broker, dealer, tax adviser, attorney, accountant, or fiduciary to any reader. No reader should treat this document as a recommendation, solicitation, instruction, trading signal, offer to buy or sell any security, currency, commodity, derivative, fund, cryptoasset, precious metal, or financial instrument.</w:t>
      </w:r>
    </w:p>
    <w:p>
      <w:pPr>
        <w:pStyle w:val="FXBody"/>
        <w:keepLines w:val="0"/>
        <w:widowControl/>
        <w:spacing w:after="160" w:line="252" w:lineRule="auto"/>
        <w:jc w:val="both"/>
      </w:pPr>
      <w:r>
        <w:rPr>
          <w:rFonts w:ascii="Calibri" w:hAnsi="Calibri"/>
          <w:b w:val="false"/>
          <w:bCs w:val="false"/>
          <w:sz w:val="21"/>
        </w:rPr>
        <w:t xml:space="preserve">All examples, scenarios, thresholds, model outputs, and portfolio references are illustrative and analytical only. They are included to explain the framework’s logic, not to instruct any reader to copy, follow, buy, sell, hold, short, leverage, hedge, or allocate capital in any specific way.</w:t>
      </w:r>
    </w:p>
    <w:p>
      <w:pPr>
        <w:pStyle w:val="FXBody"/>
        <w:keepLines w:val="0"/>
        <w:widowControl/>
        <w:spacing w:after="80" w:line="252" w:lineRule="auto"/>
        <w:jc w:val="both"/>
      </w:pPr>
      <w:r>
        <w:rPr>
          <w:rFonts w:ascii="Calibri" w:hAnsi="Calibri"/>
          <w:b w:val="false"/>
          <w:bCs w:val="false"/>
          <w:sz w:val="21"/>
        </w:rPr>
        <w:t xml:space="preserve">Readers are solely responsible for:</w:t>
      </w:r>
    </w:p>
    <w:p>
      <w:pPr>
        <w:pStyle w:val="FXBody"/>
        <w:keepLines w:val="0"/>
        <w:widowControl/>
        <w:spacing w:after="40" w:line="252" w:lineRule="auto"/>
        <w:ind w:left="720" w:hanging="360"/>
        <w:jc w:val="both"/>
      </w:pPr>
      <w:r>
        <w:rPr>
          <w:rFonts w:ascii="Calibri" w:hAnsi="Calibri"/>
          <w:b w:val="false"/>
          <w:bCs w:val="false"/>
          <w:sz w:val="21"/>
        </w:rPr>
        <w:t xml:space="preserve">•  verifying all data independently;</w:t>
      </w:r>
    </w:p>
    <w:p>
      <w:pPr>
        <w:pStyle w:val="FXBody"/>
        <w:keepLines w:val="0"/>
        <w:widowControl/>
        <w:spacing w:after="40" w:line="252" w:lineRule="auto"/>
        <w:ind w:left="720" w:hanging="360"/>
        <w:jc w:val="both"/>
      </w:pPr>
      <w:r>
        <w:rPr>
          <w:rFonts w:ascii="Calibri" w:hAnsi="Calibri"/>
          <w:b w:val="false"/>
          <w:bCs w:val="false"/>
          <w:sz w:val="21"/>
        </w:rPr>
        <w:t xml:space="preserve">•  evaluating whether the framework applies to their own jurisdiction and circumstances;</w:t>
      </w:r>
    </w:p>
    <w:p>
      <w:pPr>
        <w:pStyle w:val="FXBody"/>
        <w:keepLines w:val="0"/>
        <w:widowControl/>
        <w:spacing w:after="40" w:line="252" w:lineRule="auto"/>
        <w:ind w:left="720" w:hanging="360"/>
        <w:jc w:val="both"/>
      </w:pPr>
      <w:r>
        <w:rPr>
          <w:rFonts w:ascii="Calibri" w:hAnsi="Calibri"/>
          <w:b w:val="false"/>
          <w:bCs w:val="false"/>
          <w:sz w:val="21"/>
        </w:rPr>
        <w:t xml:space="preserve">•  determining their own position sizing, risk limits, liquidity needs, and falsification rules;</w:t>
      </w:r>
    </w:p>
    <w:p>
      <w:pPr>
        <w:pStyle w:val="FXBody"/>
        <w:keepLines w:val="0"/>
        <w:widowControl/>
        <w:spacing w:after="40" w:line="252" w:lineRule="auto"/>
        <w:ind w:left="720" w:hanging="360"/>
        <w:jc w:val="both"/>
      </w:pPr>
      <w:r>
        <w:rPr>
          <w:rFonts w:ascii="Calibri" w:hAnsi="Calibri"/>
          <w:b w:val="false"/>
          <w:bCs w:val="false"/>
          <w:sz w:val="21"/>
        </w:rPr>
        <w:t xml:space="preserve">•  complying with all applicable laws, regulations, tax rules, reporting duties, capital controls, brokerage rules, and professional-advice requirements;</w:t>
      </w:r>
    </w:p>
    <w:p>
      <w:pPr>
        <w:pStyle w:val="FXBody"/>
        <w:keepLines w:val="0"/>
        <w:widowControl/>
        <w:spacing w:after="160" w:line="252" w:lineRule="auto"/>
        <w:ind w:left="720" w:hanging="360"/>
        <w:jc w:val="both"/>
      </w:pPr>
      <w:r>
        <w:rPr>
          <w:rFonts w:ascii="Calibri" w:hAnsi="Calibri"/>
          <w:b w:val="false"/>
          <w:bCs w:val="false"/>
          <w:sz w:val="21"/>
        </w:rPr>
        <w:t xml:space="preserve">•  consulting qualified legal, financial, tax, accounting, or regulatory professionals before making any decision.</w:t>
      </w:r>
    </w:p>
    <w:p>
      <w:pPr>
        <w:pStyle w:val="FXBody"/>
        <w:keepLines w:val="0"/>
        <w:widowControl/>
        <w:spacing w:after="160" w:line="252" w:lineRule="auto"/>
        <w:jc w:val="both"/>
      </w:pPr>
      <w:r>
        <w:rPr>
          <w:rFonts w:ascii="Calibri" w:hAnsi="Calibri"/>
          <w:b w:val="false"/>
          <w:bCs w:val="false"/>
          <w:sz w:val="21"/>
        </w:rPr>
        <w:t xml:space="preserve">If this framework is used to justify blind copying, leverage, abandonment of personal judgment, unsuitable risk-taking, or reliance without independent verification, it has been misused.</w:t>
      </w:r>
    </w:p>
    <w:p>
      <w:pPr>
        <w:pStyle w:val="FXBody"/>
        <w:keepLines w:val="0"/>
        <w:widowControl/>
        <w:spacing w:after="160" w:line="252" w:lineRule="auto"/>
        <w:jc w:val="both"/>
      </w:pPr>
      <w:r>
        <w:rPr>
          <w:rFonts w:ascii="Calibri" w:hAnsi="Calibri"/>
          <w:b w:val="false"/>
          <w:bCs w:val="false"/>
          <w:sz w:val="21"/>
        </w:rPr>
        <w:t xml:space="preserve">The author makes no representation or warranty that the framework is complete, accurate, current, profitable, suitable, lawful for any specific reader, or free from error. Markets, laws, policies, data, and regulatory interpretations may change without notice. Past observations, model performance, or historical analogies do not guarantee future outcomes.</w:t>
      </w:r>
    </w:p>
    <w:p>
      <w:pPr>
        <w:pStyle w:val="FXBody"/>
        <w:keepLines w:val="0"/>
        <w:widowControl/>
        <w:spacing w:after="160" w:line="252" w:lineRule="auto"/>
        <w:jc w:val="both"/>
      </w:pPr>
      <w:r>
        <w:rPr>
          <w:rFonts w:ascii="Calibri" w:hAnsi="Calibri"/>
          <w:b w:val="false"/>
          <w:bCs w:val="false"/>
          <w:sz w:val="21"/>
        </w:rPr>
        <w:t xml:space="preserve">By reading or using this document, the reader accepts that all decisions remain their own responsibility and that the document is provided for analytical, educational, and research discussion purposes only.</w:t>
      </w:r>
    </w:p>
    <w:p>
      <w:pPr>
        <w:pStyle w:val="FXBody"/>
        <w:keepLines w:val="0"/>
        <w:widowControl/>
        <w:spacing w:after="160" w:line="252" w:lineRule="auto"/>
        <w:jc w:val="both"/>
      </w:pPr>
      <w:r>
        <w:rPr>
          <w:rFonts w:ascii="Calibri" w:hAnsi="Calibri"/>
          <w:b w:val="false"/>
          <w:bCs w:val="false"/>
          <w:sz w:val="21"/>
        </w:rPr>
        <w:t xml:space="preserve">The fact that currencies, commodities, and other instruments discussed in this document are convertible, liquid, or universally accessible does not alter its analytical character. Accessibility of an asset class is not a determinant of advisory intent. This document describes, models, and falsifies macro dynamics. It does not instruct, solicit, or facilitate any transaction in any instrument in any jurisdiction.</w:t>
      </w:r>
    </w:p>
    <w:p>
      <w:pPr>
        <w:pStyle w:val="FXBody"/>
        <w:keepLines w:val="0"/>
        <w:widowControl/>
        <w:spacing w:after="160" w:line="252" w:lineRule="auto"/>
        <w:jc w:val="both"/>
      </w:pPr>
      <w:r>
        <w:rPr>
          <w:rFonts w:ascii="Calibri" w:hAnsi="Calibri"/>
          <w:b w:val="false"/>
          <w:bCs w:val="false"/>
          <w:i/>
          <w:iCs/>
          <w:sz w:val="21"/>
        </w:rPr>
        <w:t>This document is a research framework for tracking systemic macro dynamics. It does not constitute financial advice, an investment recommendation, or a guarantee of outcomes. The model operates under explicit falsification discipline (§12) and gate-state chaos absorption (§2.3, §11.2); all shock classes are classified as noise, data, transition signal, or structural breakdown rather than assigned to a stochastic probability overlay. Market data are point-in-time readings as of 4 August 2026 from public sources and may be revised. Participants using this framework operate at their own risk and should conduct independent due diligence, size positions appropriately for personal risk tolerance, monitor falsification conditions continuously, and consult qualified financial professionals before making investment decisions.</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XNote"/>
    </w:pPr>
    <w:r>
      <w:t xml:space="preserve">FX Framework v9.2 | 8 September 2026 |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Palatino Linotype" w:cs="Palatino Linotype" w:eastAsia="Palatino Linotype" w:hAnsi="Palatino Linotype"/>
      <w:b/>
      <w:bCs/>
      <w:color w:val="8B0000"/>
      <w:sz w:val="30"/>
      <w:szCs w:val="30"/>
    </w:rPr>
  </w:style>
  <w:style w:type="paragraph" w:styleId="Heading2">
    <w:name w:val="Heading 2"/>
    <w:basedOn w:val="Normal"/>
    <w:next w:val="Normal"/>
    <w:qFormat/>
    <w:pPr>
      <w:spacing w:after="160" w:before="260"/>
      <w:outlineLvl w:val="1"/>
    </w:pPr>
    <w:rPr>
      <w:rFonts w:ascii="Palatino Linotype" w:cs="Palatino Linotype" w:eastAsia="Palatino Linotype" w:hAnsi="Palatino Linotype"/>
      <w:b/>
      <w:bCs/>
      <w:color w:val="5C1010"/>
      <w:sz w:val="25"/>
      <w:szCs w:val="25"/>
    </w:rPr>
  </w:style>
  <w:style w:type="paragraph" w:styleId="Heading3">
    <w:name w:val="Heading 3"/>
    <w:basedOn w:val="Normal"/>
    <w:next w:val="Normal"/>
    <w:qFormat/>
    <w:pPr>
      <w:spacing w:after="140" w:before="200"/>
      <w:outlineLvl w:val="2"/>
    </w:pPr>
    <w:rPr>
      <w:rFonts w:ascii="Palatino Linotype" w:cs="Palatino Linotype" w:eastAsia="Palatino Linotype" w:hAnsi="Palatino Linotype"/>
      <w:b/>
      <w:bCs/>
      <w:color w:val="3A0000"/>
      <w:sz w:val="23"/>
      <w:szCs w:val="23"/>
    </w:rPr>
  </w:style>
  <w:style w:type="paragraph" w:customStyle="1" w:styleId="FXBody">
    <w:name w:val="FX Body"/>
    <w:pPr>
      <w:widowControl/>
      <w:spacing w:before="0" w:after="100" w:line="252" w:lineRule="auto"/>
    </w:pPr>
    <w:rPr>
      <w:rFonts w:ascii="Calibri" w:hAnsi="Calibri"/>
      <w:b w:val="0"/>
      <w:color w:val="222222"/>
      <w:sz w:val="21"/>
    </w:rPr>
  </w:style>
  <w:style w:type="paragraph" w:customStyle="1" w:styleId="FXHeading1">
    <w:name w:val="FX Heading 1"/>
    <w:pPr>
      <w:keepNext/>
      <w:widowControl/>
      <w:spacing w:before="200" w:after="100" w:line="252" w:lineRule="auto"/>
    </w:pPr>
    <w:rPr>
      <w:rFonts w:ascii="Calibri" w:hAnsi="Calibri"/>
      <w:b/>
      <w:color w:val="17365D"/>
      <w:sz w:val="32"/>
    </w:rPr>
  </w:style>
  <w:style w:type="paragraph" w:customStyle="1" w:styleId="FXHeading2">
    <w:name w:val="FX Heading 2"/>
    <w:pPr>
      <w:keepNext/>
      <w:widowControl/>
      <w:spacing w:before="200" w:after="100" w:line="252" w:lineRule="auto"/>
    </w:pPr>
    <w:rPr>
      <w:rFonts w:ascii="Calibri" w:hAnsi="Calibri"/>
      <w:b/>
      <w:color w:val="17365D"/>
      <w:sz w:val="25"/>
    </w:rPr>
  </w:style>
  <w:style w:type="paragraph" w:customStyle="1" w:styleId="FXNote">
    <w:name w:val="FX Note"/>
    <w:pPr>
      <w:widowControl/>
      <w:spacing w:before="0" w:after="100" w:line="252" w:lineRule="auto"/>
    </w:pPr>
    <w:rPr>
      <w:rFonts w:ascii="Calibri" w:hAnsi="Calibri"/>
      <w:b w:val="0"/>
      <w:color w:val="444444"/>
      <w:sz w:val="19"/>
    </w:rPr>
  </w:style>
  <w:style w:type="paragraph" w:customStyle="1" w:styleId="FXTable">
    <w:name w:val="FX Table"/>
    <w:pPr>
      <w:widowControl/>
      <w:spacing w:before="0" w:after="100" w:line="252" w:lineRule="auto"/>
    </w:pPr>
    <w:rPr>
      <w:rFonts w:ascii="Calibri" w:hAnsi="Calibri"/>
      <w:b w:val="0"/>
      <w:color w:val="222222"/>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www.govinfo.gov/content/pkg/BILLS-119s954is/html/BILLS-119s954is.htm" TargetMode="External"/><Relationship Id="rId12" Type="http://schemas.openxmlformats.org/officeDocument/2006/relationships/hyperlink" Target="https://www.federalreserve.gov/econres/notes/feds-notes/official-reserve-revaluations-the-international-experience-20250801.html" TargetMode="External"/><Relationship Id="rId13" Type="http://schemas.openxmlformats.org/officeDocument/2006/relationships/hyperlink" Target="https://www.tcmb.gov.tr/wps/wcm/connect/en/tcmb%2Ben/main%2Bmenu/announcements/remarks%2Bby%2Bgovernor/2026/speechg13_08_2026" TargetMode="External"/><Relationship Id="rId14" Type="http://schemas.openxmlformats.org/officeDocument/2006/relationships/hyperlink" Target="https://www.imf.org/en/news/articles/2026/02/13/pr-26047-turkiye-imf-executive-board-concludes-2025-article-iv-consultation" TargetMode="External"/><Relationship Id="rId15" Type="http://schemas.openxmlformats.org/officeDocument/2006/relationships/hyperlink" Target="https://www.federalreserve.gov/newsevents/pressreleases/monetary20260729a.htm" TargetMode="External"/><Relationship Id="rId16" Type="http://schemas.openxmlformats.org/officeDocument/2006/relationships/hyperlink" Target="https://fredblog.stlouisfed.org/2022/08/the-dollar-and-euro-exchange-rates-break-even/" TargetMode="External"/><Relationship Id="rId17" Type="http://schemas.openxmlformats.org/officeDocument/2006/relationships/hyperlink" Target="https://rollcall.com/factbase/trump/transcript/donald-trump-interview-bloomberg-businessweek-july-16-2024/" TargetMode="External"/><Relationship Id="rId18" Type="http://schemas.openxmlformats.org/officeDocument/2006/relationships/hyperlink" Target="https://www.gold.org/goldhub/data/gold-prices" TargetMode="External"/><Relationship Id="rId19" Type="http://schemas.openxmlformats.org/officeDocument/2006/relationships/hyperlink" Target="https://www.worldgovernmentbonds.com/cds-historical-data/turkey/5-year/" TargetMode="External"/><Relationship Id="rId20" Type="http://schemas.openxmlformats.org/officeDocument/2006/relationships/hyperlink" Target="https://tcmb.gov.tr/kurlar/kurlar_en.html"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2026-06-10T20:42:32.285Z</dcterms:created>
  <dcterms:modified xsi:type="dcterms:W3CDTF">2026-06-10T20:42:32.299Z</dcterms:modified>
  <dc:title>Systemic FX Compression &amp; Gold Proxy Revaluation Framework v9.2</dc:title>
  <dc:subject>Sentinel audit, author-intent reconciliation, conditional fiscal shock</dc:subject>
  <dc:description>8 September 2026 audit. Original v9.1 retained in version history; no live gate activation asserted.</dc:description>
  <cp:version>9.1</cp:version>
</cp:coreProperties>
</file>

<file path=docProps/custom.xml><?xml version="1.0" encoding="utf-8"?>
<Properties xmlns="http://schemas.openxmlformats.org/officeDocument/2006/custom-properties" xmlns:vt="http://schemas.openxmlformats.org/officeDocument/2006/docPropsVTypes"/>
</file>