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E85D04"/>
        <w:spacing w:before="0" w:after="0"/>
        <w:jc w:val="center"/>
        <w:rPr/>
      </w:pPr>
      <w:r>
        <w:rPr/>
      </w:r>
    </w:p>
    <w:p>
      <w:pPr>
        <w:pStyle w:val="Normal"/>
        <w:shd w:val="clear" w:color="auto" w:fill="E85D04"/>
        <w:spacing w:before="0" w:after="0"/>
        <w:jc w:val="center"/>
        <w:rPr/>
      </w:pPr>
      <w:r>
        <w:rPr/>
      </w:r>
    </w:p>
    <w:p>
      <w:pPr>
        <w:pStyle w:val="Normal"/>
        <w:shd w:val="clear" w:color="auto" w:fill="E85D04"/>
        <w:spacing w:before="0" w:after="0"/>
        <w:jc w:val="center"/>
        <w:rPr/>
      </w:pPr>
      <w:r>
        <w:rPr>
          <w:b/>
          <w:i w:val="false"/>
          <w:color w:val="FFFFFF"/>
          <w:sz w:val="26"/>
        </w:rPr>
        <w:t>DOSSIER DE PROTOTYPAGE</w:t>
      </w:r>
    </w:p>
    <w:p>
      <w:pPr>
        <w:pStyle w:val="Normal"/>
        <w:shd w:val="clear" w:color="auto" w:fill="E85D04"/>
        <w:spacing w:before="0" w:after="0"/>
        <w:jc w:val="center"/>
        <w:rPr/>
      </w:pPr>
      <w:r>
        <w:rPr/>
      </w:r>
    </w:p>
    <w:p>
      <w:pPr>
        <w:pStyle w:val="Normal"/>
        <w:shd w:val="clear" w:color="auto" w:fill="E85D04"/>
        <w:spacing w:before="0" w:after="0"/>
        <w:jc w:val="center"/>
        <w:rPr/>
      </w:pPr>
      <w:r>
        <w:rPr/>
      </w:r>
    </w:p>
    <w:p>
      <w:pPr>
        <w:pStyle w:val="Normal"/>
        <w:spacing w:before="800" w:after="120"/>
        <w:jc w:val="center"/>
        <w:rPr/>
      </w:pPr>
      <w:r>
        <w:rPr>
          <w:b/>
          <w:i w:val="false"/>
          <w:color w:val="1A1A1A"/>
          <w:sz w:val="64"/>
        </w:rPr>
        <w:t>RealEstateAI</w:t>
      </w:r>
    </w:p>
    <w:p>
      <w:pPr>
        <w:pStyle w:val="Normal"/>
        <w:spacing w:before="0" w:after="80"/>
        <w:jc w:val="center"/>
        <w:rPr/>
      </w:pPr>
      <w:r>
        <w:rPr>
          <w:b w:val="false"/>
          <w:i/>
          <w:color w:val="777777"/>
          <w:sz w:val="26"/>
        </w:rPr>
        <w:t>Estimateur de prix immobilier — Île-de-France</w:t>
      </w:r>
    </w:p>
    <w:p>
      <w:pPr>
        <w:pStyle w:val="Normal"/>
        <w:spacing w:before="0" w:after="440"/>
        <w:jc w:val="center"/>
        <w:rPr/>
      </w:pPr>
      <w:r>
        <w:rPr>
          <w:b w:val="false"/>
          <w:i/>
          <w:color w:val="777777"/>
          <w:sz w:val="24"/>
        </w:rPr>
        <w:t>Basé sur les données DVF open data</w:t>
      </w:r>
    </w:p>
    <w:p>
      <w:pPr>
        <w:pStyle w:val="Normal"/>
        <w:spacing w:before="0" w:after="440"/>
        <w:jc w:val="center"/>
        <w:rPr>
          <w:rFonts w:ascii="Arial" w:hAnsi="Arial"/>
          <w:b w:val="false"/>
          <w:i/>
          <w:i/>
          <w:color w:val="777777"/>
          <w:sz w:val="24"/>
        </w:rPr>
      </w:pPr>
      <w:r>
        <w:rPr>
          <w:b w:val="false"/>
          <w:i/>
          <w:color w:val="777777"/>
          <w:sz w:val="24"/>
        </w:rPr>
      </w:r>
    </w:p>
    <w:p>
      <w:pPr>
        <w:pStyle w:val="Normal"/>
        <w:spacing w:before="0" w:after="440"/>
        <w:jc w:val="left"/>
        <w:rPr>
          <w:b/>
          <w:bCs/>
          <w:i w:val="false"/>
          <w:i w:val="false"/>
          <w:iCs w:val="false"/>
        </w:rPr>
      </w:pPr>
      <w:r>
        <w:rPr>
          <w:b/>
          <w:bCs/>
          <w:i w:val="false"/>
          <w:iCs w:val="false"/>
          <w:color w:val="777777"/>
          <w:sz w:val="24"/>
        </w:rPr>
        <w:t>Collaborateurs</w:t>
      </w:r>
    </w:p>
    <w:p>
      <w:pPr>
        <w:pStyle w:val="Normal"/>
        <w:spacing w:before="60" w:after="60"/>
        <w:jc w:val="left"/>
        <w:rPr/>
      </w:pPr>
      <w:r>
        <w:rPr>
          <w:color w:val="1A1A1A"/>
          <w:sz w:val="24"/>
        </w:rPr>
        <w:t>DIALLO Kadiatou Aliou</w:t>
      </w:r>
    </w:p>
    <w:p>
      <w:pPr>
        <w:pStyle w:val="Normal"/>
        <w:spacing w:before="60" w:after="60"/>
        <w:jc w:val="left"/>
        <w:rPr/>
      </w:pPr>
      <w:r>
        <w:rPr>
          <w:color w:val="1A1A1A"/>
          <w:sz w:val="24"/>
        </w:rPr>
        <w:t>ASBANE Amine</w:t>
      </w:r>
    </w:p>
    <w:p>
      <w:pPr>
        <w:pStyle w:val="Normal"/>
        <w:spacing w:before="60" w:after="60"/>
        <w:jc w:val="left"/>
        <w:rPr/>
      </w:pPr>
      <w:r>
        <w:rPr>
          <w:color w:val="1A1A1A"/>
          <w:sz w:val="24"/>
        </w:rPr>
        <w:t>HARIGA Skander</w:t>
      </w:r>
    </w:p>
    <w:p>
      <w:pPr>
        <w:pStyle w:val="Normal"/>
        <w:spacing w:before="60" w:after="60"/>
        <w:jc w:val="left"/>
        <w:rPr/>
      </w:pPr>
      <w:r>
        <w:rPr>
          <w:color w:val="1A1A1A"/>
          <w:sz w:val="24"/>
        </w:rPr>
        <w:t>EZZAYYOUNI Yougarten</w:t>
      </w:r>
    </w:p>
    <w:p>
      <w:pPr>
        <w:pStyle w:val="Normal"/>
        <w:spacing w:before="60" w:after="60"/>
        <w:jc w:val="left"/>
        <w:rPr/>
      </w:pPr>
      <w:r>
        <w:rPr>
          <w:color w:val="1A1A1A"/>
          <w:sz w:val="24"/>
        </w:rPr>
        <w:t>ZARABA Akram</w:t>
      </w:r>
    </w:p>
    <w:p>
      <w:pPr>
        <w:pStyle w:val="Normal"/>
        <w:spacing w:before="280" w:after="40"/>
        <w:jc w:val="center"/>
        <w:rPr/>
      </w:pPr>
      <w:r>
        <w:rPr>
          <w:b w:val="false"/>
          <w:i w:val="false"/>
          <w:color w:val="777777"/>
          <w:sz w:val="22"/>
        </w:rPr>
        <w:t>Prototype v1.0  ·  Mars 2026</w:t>
      </w:r>
    </w:p>
    <w:p>
      <w:pPr>
        <w:pStyle w:val="Normal"/>
        <w:spacing w:before="0" w:after="720"/>
        <w:jc w:val="center"/>
        <w:rPr/>
      </w:pPr>
      <w:r>
        <w:rPr>
          <w:b w:val="false"/>
          <w:i w:val="false"/>
          <w:color w:val="E85D04"/>
          <w:sz w:val="20"/>
        </w:rPr>
        <w:t>https://github.com/khadija10/RealStateAI</w:t>
      </w:r>
    </w:p>
    <w:tbl>
      <w:tblPr>
        <w:tblStyle w:val="TableGrid"/>
        <w:tblW w:w="7005" w:type="dxa"/>
        <w:jc w:val="center"/>
        <w:tblInd w:w="0" w:type="dxa"/>
        <w:tblLayout w:type="fixed"/>
        <w:tblCellMar>
          <w:top w:w="60" w:type="dxa"/>
          <w:left w:w="200" w:type="dxa"/>
          <w:bottom w:w="60" w:type="dxa"/>
          <w:right w:w="200" w:type="dxa"/>
        </w:tblCellMar>
      </w:tblPr>
      <w:tblGrid>
        <w:gridCol w:w="7005"/>
      </w:tblGrid>
      <w:tr>
        <w:trPr/>
        <w:tc>
          <w:tcPr>
            <w:tcW w:w="7005" w:type="dxa"/>
            <w:tcBorders>
              <w:top w:val="single" w:sz="12" w:space="0" w:color="E85D04"/>
              <w:left w:val="single" w:sz="12" w:space="0" w:color="E85D04"/>
              <w:bottom w:val="single" w:sz="12" w:space="0" w:color="E85D04"/>
              <w:right w:val="single" w:sz="12" w:space="0" w:color="E85D04"/>
            </w:tcBorders>
          </w:tcPr>
          <w:p>
            <w:pPr>
              <w:pStyle w:val="Normal"/>
              <w:spacing w:before="120" w:after="80"/>
              <w:jc w:val="center"/>
              <w:rPr>
                <w:rFonts w:ascii="Arial" w:hAnsi="Arial"/>
                <w:b/>
                <w:color w:val="E85D04"/>
                <w:sz w:val="22"/>
              </w:rPr>
            </w:pPr>
            <w:r>
              <w:rPr>
                <w:b/>
                <w:color w:val="E85D04"/>
                <w:sz w:val="22"/>
              </w:rPr>
            </w:r>
          </w:p>
        </w:tc>
      </w:tr>
      <w:tr>
        <w:trPr/>
        <w:tc>
          <w:tcPr>
            <w:tcW w:w="7005" w:type="dxa"/>
            <w:tcBorders>
              <w:top w:val="single" w:sz="12" w:space="0" w:color="E85D04"/>
              <w:left w:val="single" w:sz="12" w:space="0" w:color="E85D04"/>
              <w:bottom w:val="single" w:sz="12" w:space="0" w:color="E85D04"/>
              <w:right w:val="single" w:sz="12" w:space="0" w:color="E85D04"/>
            </w:tcBorders>
          </w:tcPr>
          <w:p>
            <w:pPr>
              <w:pStyle w:val="Normal"/>
              <w:spacing w:before="60" w:after="60"/>
              <w:jc w:val="center"/>
              <w:rPr>
                <w:rFonts w:ascii="Arial" w:hAnsi="Arial"/>
                <w:color w:val="1A1A1A"/>
                <w:sz w:val="24"/>
              </w:rPr>
            </w:pPr>
            <w:r>
              <w:rPr>
                <w:color w:val="1A1A1A"/>
                <w:sz w:val="24"/>
              </w:rPr>
            </w:r>
          </w:p>
        </w:tc>
      </w:tr>
      <w:tr>
        <w:trPr/>
        <w:tc>
          <w:tcPr>
            <w:tcW w:w="7005" w:type="dxa"/>
            <w:tcBorders>
              <w:top w:val="single" w:sz="12" w:space="0" w:color="E85D04"/>
              <w:left w:val="single" w:sz="12" w:space="0" w:color="E85D04"/>
              <w:bottom w:val="single" w:sz="12" w:space="0" w:color="E85D04"/>
              <w:right w:val="single" w:sz="12" w:space="0" w:color="E85D04"/>
            </w:tcBorders>
          </w:tcPr>
          <w:p>
            <w:pPr>
              <w:pStyle w:val="Normal"/>
              <w:spacing w:before="60" w:after="60"/>
              <w:jc w:val="center"/>
              <w:rPr>
                <w:rFonts w:ascii="Arial" w:hAnsi="Arial"/>
                <w:color w:val="1A1A1A"/>
                <w:sz w:val="24"/>
              </w:rPr>
            </w:pPr>
            <w:r>
              <w:rPr>
                <w:color w:val="1A1A1A"/>
                <w:sz w:val="24"/>
              </w:rPr>
            </w:r>
          </w:p>
        </w:tc>
      </w:tr>
      <w:tr>
        <w:trPr/>
        <w:tc>
          <w:tcPr>
            <w:tcW w:w="7005" w:type="dxa"/>
            <w:tcBorders>
              <w:top w:val="single" w:sz="12" w:space="0" w:color="E85D04"/>
              <w:left w:val="single" w:sz="12" w:space="0" w:color="E85D04"/>
              <w:bottom w:val="single" w:sz="12" w:space="0" w:color="E85D04"/>
              <w:right w:val="single" w:sz="12" w:space="0" w:color="E85D04"/>
            </w:tcBorders>
          </w:tcPr>
          <w:p>
            <w:pPr>
              <w:pStyle w:val="Normal"/>
              <w:spacing w:before="60" w:after="60"/>
              <w:jc w:val="center"/>
              <w:rPr>
                <w:rFonts w:ascii="Arial" w:hAnsi="Arial"/>
                <w:color w:val="1A1A1A"/>
                <w:sz w:val="24"/>
              </w:rPr>
            </w:pPr>
            <w:r>
              <w:rPr>
                <w:color w:val="1A1A1A"/>
                <w:sz w:val="24"/>
              </w:rPr>
            </w:r>
          </w:p>
        </w:tc>
      </w:tr>
      <w:tr>
        <w:trPr/>
        <w:tc>
          <w:tcPr>
            <w:tcW w:w="7005" w:type="dxa"/>
            <w:tcBorders>
              <w:top w:val="single" w:sz="12" w:space="0" w:color="E85D04"/>
              <w:left w:val="single" w:sz="12" w:space="0" w:color="E85D04"/>
              <w:bottom w:val="single" w:sz="12" w:space="0" w:color="E85D04"/>
              <w:right w:val="single" w:sz="12" w:space="0" w:color="E85D04"/>
            </w:tcBorders>
          </w:tcPr>
          <w:p>
            <w:pPr>
              <w:pStyle w:val="Normal"/>
              <w:spacing w:before="60" w:after="60"/>
              <w:jc w:val="center"/>
              <w:rPr>
                <w:rFonts w:ascii="Arial" w:hAnsi="Arial"/>
                <w:color w:val="1A1A1A"/>
                <w:sz w:val="24"/>
              </w:rPr>
            </w:pPr>
            <w:r>
              <w:rPr>
                <w:color w:val="1A1A1A"/>
                <w:sz w:val="24"/>
              </w:rPr>
            </w:r>
          </w:p>
        </w:tc>
      </w:tr>
      <w:tr>
        <w:trPr/>
        <w:tc>
          <w:tcPr>
            <w:tcW w:w="7005" w:type="dxa"/>
            <w:tcBorders>
              <w:top w:val="single" w:sz="12" w:space="0" w:color="E85D04"/>
              <w:left w:val="single" w:sz="12" w:space="0" w:color="E85D04"/>
              <w:bottom w:val="single" w:sz="12" w:space="0" w:color="E85D04"/>
              <w:right w:val="single" w:sz="12" w:space="0" w:color="E85D04"/>
            </w:tcBorders>
          </w:tcPr>
          <w:p>
            <w:pPr>
              <w:pStyle w:val="Normal"/>
              <w:spacing w:before="60" w:after="60"/>
              <w:jc w:val="center"/>
              <w:rPr>
                <w:rFonts w:ascii="Arial" w:hAnsi="Arial"/>
                <w:color w:val="1A1A1A"/>
                <w:sz w:val="24"/>
              </w:rPr>
            </w:pPr>
            <w:r>
              <w:rPr>
                <w:color w:val="1A1A1A"/>
                <w:sz w:val="24"/>
              </w:rPr>
            </w:r>
          </w:p>
        </w:tc>
      </w:tr>
      <w:tr>
        <w:trPr/>
        <w:tc>
          <w:tcPr>
            <w:tcW w:w="7005" w:type="dxa"/>
            <w:tcBorders>
              <w:top w:val="single" w:sz="12" w:space="0" w:color="E85D04"/>
              <w:left w:val="single" w:sz="12" w:space="0" w:color="E85D04"/>
              <w:bottom w:val="single" w:sz="12" w:space="0" w:color="E85D04"/>
              <w:right w:val="single" w:sz="12" w:space="0" w:color="E85D04"/>
            </w:tcBorders>
          </w:tcPr>
          <w:p>
            <w:pPr>
              <w:pStyle w:val="Normal"/>
              <w:spacing w:before="40" w:after="40"/>
              <w:jc w:val="center"/>
              <w:rPr/>
            </w:pPr>
            <w:r>
              <w:rPr/>
            </w:r>
          </w:p>
        </w:tc>
      </w:tr>
    </w:tbl>
    <w:p>
      <w:pPr>
        <w:pStyle w:val="Normal"/>
        <w:spacing w:before="0" w:after="0"/>
        <w:rPr/>
      </w:pPr>
      <w:r>
        <w:rPr/>
      </w:r>
      <w:r>
        <w:br w:type="page"/>
      </w:r>
    </w:p>
    <w:p>
      <w:pPr>
        <w:pStyle w:val="Normal"/>
        <w:pBdr>
          <w:left w:val="single" w:sz="30" w:space="0" w:color="E85D04"/>
        </w:pBdr>
        <w:spacing w:before="0" w:after="120"/>
        <w:ind w:left="227"/>
        <w:rPr>
          <w:rFonts w:ascii="Arial" w:hAnsi="Arial"/>
          <w:b/>
          <w:i w:val="false"/>
          <w:i w:val="false"/>
          <w:color w:val="1A1A1A"/>
          <w:sz w:val="28"/>
        </w:rPr>
      </w:pPr>
      <w:r>
        <w:rPr>
          <w:b/>
          <w:i w:val="false"/>
          <w:color w:val="1A1A1A"/>
          <w:sz w:val="28"/>
        </w:rPr>
        <w:t>1.  CONTEXTE</w:t>
      </w:r>
    </w:p>
    <w:p>
      <w:pPr>
        <w:pStyle w:val="Normal"/>
        <w:spacing w:before="240" w:after="80"/>
        <w:rPr>
          <w:rFonts w:ascii="Arial" w:hAnsi="Arial"/>
          <w:b/>
          <w:i w:val="false"/>
          <w:i w:val="false"/>
          <w:color w:val="1A1A1A"/>
          <w:sz w:val="26"/>
        </w:rPr>
      </w:pPr>
      <w:r>
        <w:rPr>
          <w:b/>
          <w:i w:val="false"/>
          <w:color w:val="1A1A1A"/>
          <w:sz w:val="26"/>
        </w:rPr>
        <w:t>Présentation du contexte</w:t>
      </w:r>
    </w:p>
    <w:p>
      <w:pPr>
        <w:pStyle w:val="Normal"/>
        <w:spacing w:before="0" w:after="120"/>
        <w:jc w:val="both"/>
        <w:rPr>
          <w:rFonts w:ascii="Arial" w:hAnsi="Arial"/>
          <w:b w:val="false"/>
          <w:i w:val="false"/>
          <w:i w:val="false"/>
          <w:sz w:val="24"/>
        </w:rPr>
      </w:pPr>
      <w:r>
        <w:rPr>
          <w:b w:val="false"/>
          <w:i w:val="false"/>
          <w:sz w:val="24"/>
        </w:rPr>
        <w:t>Le marché immobilier francilien est complexe, fragmenté et opaque pour les particuliers. Les transactions immobilières en Île-de-France représentent plusieurs centaines de milliers d'opérations annuelles, mais il n'existe pas d'outil simple, gratuit et basé sur des données réelles permettant à un vendeur ou acheteur d'obtenir rapidement une estimation de prix fiable.</w:t>
      </w:r>
    </w:p>
    <w:p>
      <w:pPr>
        <w:pStyle w:val="Normal"/>
        <w:spacing w:before="0" w:after="120"/>
        <w:jc w:val="both"/>
        <w:rPr/>
      </w:pPr>
      <w:r>
        <w:rPr>
          <w:b w:val="false"/>
          <w:i w:val="false"/>
          <w:sz w:val="24"/>
        </w:rPr>
        <w:t xml:space="preserve">L'État français publie en open data les </w:t>
      </w:r>
      <w:r>
        <w:rPr>
          <w:b/>
          <w:i w:val="false"/>
          <w:sz w:val="24"/>
        </w:rPr>
        <w:t>Demandes de Valeurs Foncières (DVF)</w:t>
      </w:r>
      <w:r>
        <w:rPr>
          <w:b w:val="false"/>
          <w:i w:val="false"/>
          <w:sz w:val="24"/>
        </w:rPr>
        <w:t>, un registre exhaustif de toutes les ventes immobilières notariées. Ce jeu de données constitue une base de travail exceptionnelle, encore peu exploitée sous forme d'application accessible au grand public.</w:t>
      </w:r>
    </w:p>
    <w:p>
      <w:pPr>
        <w:pStyle w:val="Normal"/>
        <w:spacing w:before="240" w:after="80"/>
        <w:rPr>
          <w:rFonts w:ascii="Arial" w:hAnsi="Arial"/>
          <w:b/>
          <w:i w:val="false"/>
          <w:i w:val="false"/>
          <w:color w:val="1A1A1A"/>
          <w:sz w:val="26"/>
        </w:rPr>
      </w:pPr>
      <w:r>
        <w:rPr>
          <w:b/>
          <w:i w:val="false"/>
          <w:color w:val="1A1A1A"/>
          <w:sz w:val="26"/>
        </w:rPr>
        <w:t>Objectifs du POC</w:t>
      </w:r>
    </w:p>
    <w:p>
      <w:pPr>
        <w:pStyle w:val="Normal"/>
        <w:spacing w:before="0" w:after="120"/>
        <w:jc w:val="both"/>
        <w:rPr>
          <w:rFonts w:ascii="Arial" w:hAnsi="Arial"/>
          <w:b w:val="false"/>
          <w:i w:val="false"/>
          <w:i w:val="false"/>
          <w:sz w:val="24"/>
        </w:rPr>
      </w:pPr>
      <w:r>
        <w:rPr>
          <w:b w:val="false"/>
          <w:i w:val="false"/>
          <w:sz w:val="24"/>
        </w:rPr>
        <w:t>Valider la faisabilité technique d'un estimateur de prix immobilier basé sur les données DVF réelles, accessible via une interface web, et retournant en quelques secondes une fourchette de prix de marché pour un bien donné en Île-de-France.</w:t>
      </w:r>
    </w:p>
    <w:p>
      <w:pPr>
        <w:pStyle w:val="Normal"/>
        <w:pBdr>
          <w:bottom w:val="single" w:sz="4" w:space="0" w:color="E0E0E0"/>
        </w:pBdr>
        <w:spacing w:before="120" w:after="120"/>
        <w:rPr/>
      </w:pPr>
      <w:r>
        <w:rPr/>
      </w:r>
    </w:p>
    <w:p>
      <w:pPr>
        <w:pStyle w:val="Normal"/>
        <w:pBdr>
          <w:left w:val="single" w:sz="30" w:space="0" w:color="E85D04"/>
        </w:pBdr>
        <w:spacing w:before="360" w:after="120"/>
        <w:ind w:left="227"/>
        <w:rPr>
          <w:rFonts w:ascii="Arial" w:hAnsi="Arial"/>
          <w:b/>
          <w:i w:val="false"/>
          <w:i w:val="false"/>
          <w:color w:val="1A1A1A"/>
          <w:sz w:val="28"/>
        </w:rPr>
      </w:pPr>
      <w:r>
        <w:rPr>
          <w:b/>
          <w:i w:val="false"/>
          <w:color w:val="1A1A1A"/>
          <w:sz w:val="28"/>
        </w:rPr>
        <w:t>2.  LE POC</w:t>
      </w:r>
    </w:p>
    <w:p>
      <w:pPr>
        <w:pStyle w:val="Normal"/>
        <w:spacing w:before="240" w:after="80"/>
        <w:rPr>
          <w:rFonts w:ascii="Arial" w:hAnsi="Arial"/>
          <w:b/>
          <w:i w:val="false"/>
          <w:i w:val="false"/>
          <w:color w:val="1A1A1A"/>
          <w:sz w:val="26"/>
        </w:rPr>
      </w:pPr>
      <w:r>
        <w:rPr>
          <w:b/>
          <w:i w:val="false"/>
          <w:color w:val="1A1A1A"/>
          <w:sz w:val="26"/>
        </w:rPr>
        <w:t>Hypothèses du POC</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Les données DVF 2023–2024 contiennent suffisamment de transactions (≥ 10) par commune et type de bien pour produire une estimation statistiquement significative.</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Le prix d'un bien est linéairement proportionnel à sa surface (hypothèse simplificatrice acceptée pour ce stade).</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La commune est le niveau de granularité géographique suffisant pour le MVP.</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Les données DVF, une fois nettoyées, sont représentatives du marché réel sans biais majeur.</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L'infrastructure Docker garantit une reproductibilité totale du déploiement local.</w:t>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t>Ce que le POC cherche à valider</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Faisabilité du pipeline complet : données brutes DVF → nettoyage → API → interface utilisateur.</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Pertinence d'une estimation statistique (médiane des prix au m²) comme approximation du prix de marché.</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Comparaison baseline statistique vs modèle Machine Learning simple (RandomForest).</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Ergonomie et utilisabilité d'une interface de saisie / résultat.</w:t>
      </w:r>
    </w:p>
    <w:p>
      <w:pPr>
        <w:pStyle w:val="Normal"/>
        <w:spacing w:before="240" w:after="80"/>
        <w:rPr/>
      </w:pPr>
      <w:r>
        <w:rPr>
          <w:b/>
          <w:i w:val="false"/>
          <w:color w:val="1A1A1A"/>
          <w:sz w:val="26"/>
        </w:rPr>
        <w:t>Éléments hors périmètre</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Géolocalisation fine (rue, quartier, étage, exposition).</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Historique et persistance des estimations (base de données).</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Données socio-économiques complémentaires (INSEE, revenus, etc.).</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Déploiement cloud / production.</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Authentification utilisateur.</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Couverture géographique hors Île-de-France.</w:t>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t>Contraintes</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Données partielles : uniquement 2 années (2023–2024), uniquement maisons et appartements.</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Pas de filtre outliers automatique sur les prix extrêmes dans la version actuelle.</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Modèle ML limité par le faible nombre de features (commune, type, surface uniquement).</w:t>
      </w:r>
    </w:p>
    <w:p>
      <w:pPr>
        <w:pStyle w:val="Normal"/>
        <w:pBdr>
          <w:bottom w:val="single" w:sz="4" w:space="0" w:color="E0E0E0"/>
        </w:pBdr>
        <w:spacing w:before="120" w:after="120"/>
        <w:rPr/>
      </w:pPr>
      <w:r>
        <w:rPr/>
      </w:r>
    </w:p>
    <w:p>
      <w:pPr>
        <w:pStyle w:val="Normal"/>
        <w:pBdr>
          <w:left w:val="single" w:sz="30" w:space="0" w:color="E85D04"/>
        </w:pBdr>
        <w:spacing w:before="360" w:after="120"/>
        <w:ind w:left="227"/>
        <w:rPr>
          <w:rFonts w:ascii="Arial" w:hAnsi="Arial"/>
          <w:b/>
          <w:i w:val="false"/>
          <w:i w:val="false"/>
          <w:color w:val="1A1A1A"/>
          <w:sz w:val="28"/>
        </w:rPr>
      </w:pPr>
      <w:r>
        <w:rPr>
          <w:b/>
          <w:i w:val="false"/>
          <w:color w:val="1A1A1A"/>
          <w:sz w:val="28"/>
        </w:rPr>
        <w:t>3.  LES DONNÉES</w:t>
      </w:r>
    </w:p>
    <w:p>
      <w:pPr>
        <w:pStyle w:val="Normal"/>
        <w:spacing w:before="240" w:after="80"/>
        <w:rPr>
          <w:rFonts w:ascii="Arial" w:hAnsi="Arial"/>
          <w:b/>
          <w:i w:val="false"/>
          <w:i w:val="false"/>
          <w:color w:val="1A1A1A"/>
          <w:sz w:val="26"/>
        </w:rPr>
      </w:pPr>
      <w:r>
        <w:rPr>
          <w:b/>
          <w:i w:val="false"/>
          <w:color w:val="1A1A1A"/>
          <w:sz w:val="26"/>
        </w:rPr>
        <w:t>Origine des données</w:t>
      </w:r>
    </w:p>
    <w:p>
      <w:pPr>
        <w:pStyle w:val="Normal"/>
        <w:spacing w:before="0" w:after="120"/>
        <w:jc w:val="both"/>
        <w:rPr/>
      </w:pPr>
      <w:r>
        <w:rPr>
          <w:b w:val="false"/>
          <w:i w:val="false"/>
          <w:sz w:val="24"/>
        </w:rPr>
        <w:t xml:space="preserve">Source : </w:t>
      </w:r>
      <w:r>
        <w:rPr>
          <w:b/>
          <w:i w:val="false"/>
          <w:sz w:val="24"/>
        </w:rPr>
        <w:t>Demandes de Valeurs Foncières (DVF)</w:t>
      </w:r>
      <w:r>
        <w:rPr>
          <w:b w:val="false"/>
          <w:i w:val="false"/>
          <w:sz w:val="24"/>
        </w:rPr>
        <w:t xml:space="preserve"> — données ouvertes publiées par la Direction Générale des Finances Publiques (DGFiP) sur data.gouv.fr. Fichiers annuels au format TXT délimité par « | », couvrant l'intégralité des mutations immobilières notariées en France. Millésimes disponibles : 2022, 2023, 2024, 2025-S1. Dataset retenu pour le prototype : </w:t>
      </w:r>
      <w:r>
        <w:rPr>
          <w:b/>
          <w:i w:val="false"/>
          <w:sz w:val="24"/>
        </w:rPr>
        <w:t>DVF 2023–2024.</w:t>
      </w:r>
    </w:p>
    <w:p>
      <w:pPr>
        <w:pStyle w:val="Normal"/>
        <w:spacing w:before="240" w:after="80"/>
        <w:rPr>
          <w:rFonts w:ascii="Arial" w:hAnsi="Arial"/>
          <w:b/>
          <w:i w:val="false"/>
          <w:i w:val="false"/>
          <w:color w:val="1A1A1A"/>
          <w:sz w:val="26"/>
        </w:rPr>
      </w:pPr>
      <w:r>
        <w:rPr>
          <w:b/>
          <w:i w:val="false"/>
          <w:color w:val="1A1A1A"/>
          <w:sz w:val="26"/>
        </w:rPr>
        <w:t>Description rapide des données (après nettoyage)</w:t>
      </w:r>
    </w:p>
    <w:tbl>
      <w:tblPr>
        <w:tblW w:w="9072" w:type="dxa"/>
        <w:jc w:val="left"/>
        <w:tblInd w:w="-113" w:type="dxa"/>
        <w:tblLayout w:type="fixed"/>
        <w:tblCellMar>
          <w:top w:w="0" w:type="dxa"/>
          <w:left w:w="108" w:type="dxa"/>
          <w:bottom w:w="0" w:type="dxa"/>
          <w:right w:w="108" w:type="dxa"/>
        </w:tblCellMar>
      </w:tblPr>
      <w:tblGrid>
        <w:gridCol w:w="4536"/>
        <w:gridCol w:w="4535"/>
      </w:tblGrid>
      <w:tr>
        <w:trPr/>
        <w:tc>
          <w:tcPr>
            <w:tcW w:w="4536"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Indicateur</w:t>
            </w:r>
          </w:p>
        </w:tc>
        <w:tc>
          <w:tcPr>
            <w:tcW w:w="4535"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Valeur</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Transactions finales (2023–2024, IDF)</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i w:val="false"/>
                <w:i w:val="false"/>
                <w:kern w:val="0"/>
                <w:sz w:val="22"/>
                <w:szCs w:val="22"/>
                <w:lang w:val="en-US" w:eastAsia="en-US" w:bidi="ar-SA"/>
              </w:rPr>
            </w:pPr>
            <w:r>
              <w:rPr>
                <w:rFonts w:eastAsia="ＭＳ 明朝"/>
                <w:b/>
                <w:i w:val="false"/>
                <w:kern w:val="0"/>
                <w:sz w:val="22"/>
                <w:szCs w:val="22"/>
                <w:lang w:val="en-US" w:eastAsia="en-US" w:bidi="ar-SA"/>
              </w:rPr>
              <w:t>257 354</w:t>
            </w:r>
          </w:p>
        </w:tc>
      </w:tr>
      <w:tr>
        <w:trPr/>
        <w:tc>
          <w:tcPr>
            <w:tcW w:w="4536"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Types de biens</w:t>
            </w:r>
          </w:p>
        </w:tc>
        <w:tc>
          <w:tcPr>
            <w:tcW w:w="4535"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Appartement, Maison</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Départements couverts</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75, 77, 78, 91, 92, 93, 94, 95</w:t>
            </w:r>
          </w:p>
        </w:tc>
      </w:tr>
      <w:tr>
        <w:trPr/>
        <w:tc>
          <w:tcPr>
            <w:tcW w:w="4536"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Variables clés</w:t>
            </w:r>
          </w:p>
        </w:tc>
        <w:tc>
          <w:tcPr>
            <w:tcW w:w="4535"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commune, type_bien, surface_m2, prix_vente, prix_au_m2</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Doublons (adresse + date + prix)</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0</w:t>
            </w:r>
          </w:p>
        </w:tc>
      </w:tr>
      <w:tr>
        <w:trPr/>
        <w:tc>
          <w:tcPr>
            <w:tcW w:w="4536"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Lignes avec prix ≤ 0 après nettoyage</w:t>
            </w:r>
          </w:p>
        </w:tc>
        <w:tc>
          <w:tcPr>
            <w:tcW w:w="4535"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0</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Présence d'outliers extrêmes</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Oui (jusqu'à 2.5 × 10⁸ €/m²)</w:t>
            </w:r>
          </w:p>
        </w:tc>
      </w:tr>
    </w:tbl>
    <w:p>
      <w:pPr>
        <w:pStyle w:val="Normal"/>
        <w:rPr/>
      </w:pPr>
      <w:r>
        <w:rPr/>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pPr>
      <w:r>
        <w:rPr>
          <w:b/>
          <w:i w:val="false"/>
          <w:color w:val="1A1A1A"/>
          <w:sz w:val="26"/>
        </w:rPr>
        <w:t>Boxplot des prix au m² — DVF 2023–2024 (IDF)</w:t>
      </w:r>
    </w:p>
    <w:p>
      <w:pPr>
        <w:pStyle w:val="Normal"/>
        <w:spacing w:before="0" w:after="120"/>
        <w:jc w:val="both"/>
        <w:rPr>
          <w:rFonts w:ascii="Arial" w:hAnsi="Arial"/>
          <w:b w:val="false"/>
          <w:i w:val="false"/>
          <w:i w:val="false"/>
          <w:sz w:val="24"/>
        </w:rPr>
      </w:pPr>
      <w:r>
        <w:rPr>
          <w:b w:val="false"/>
          <w:i w:val="false"/>
          <w:sz w:val="24"/>
        </w:rPr>
        <w:t>L'analyse de la distribution révèle la présence de valeurs aberrantes importantes (jusqu'à 2,5 × 10⁸ €/m²), correspondant à des erreurs notariales ou des transactions atypiques. Paris (75) concentre les outliers les plus élevés. Le département 93 présente une variance plus importante que les autres. La médiane réelle se situe entre 3 000 et 15 000 €/m² selon la commune.</w:t>
      </w:r>
    </w:p>
    <w:p>
      <w:pPr>
        <w:pStyle w:val="Normal"/>
        <w:spacing w:before="0" w:after="120"/>
        <w:jc w:val="both"/>
        <w:rPr/>
      </w:pPr>
      <w:r>
        <w:rPr>
          <w:b/>
          <w:i w:val="false"/>
          <w:color w:val="E85D04"/>
          <w:sz w:val="24"/>
        </w:rPr>
        <w:t>Note :</w:t>
      </w:r>
      <w:r>
        <w:rPr>
          <w:b w:val="false"/>
          <w:i/>
          <w:color w:val="555555"/>
          <w:sz w:val="24"/>
        </w:rPr>
        <w:t xml:space="preserve"> Ces outliers ne sont pas encore filtrés automatiquement dans la version actuelle du pipeline. Un filtre IQR est prévu pour la version suivante.</w:t>
      </w:r>
    </w:p>
    <w:p>
      <w:pPr>
        <w:pStyle w:val="Normal"/>
        <w:spacing w:before="240" w:after="80"/>
        <w:rPr>
          <w:rFonts w:ascii="Arial" w:hAnsi="Arial"/>
          <w:b/>
          <w:i w:val="false"/>
          <w:i w:val="false"/>
          <w:color w:val="1A1A1A"/>
          <w:sz w:val="26"/>
        </w:rPr>
      </w:pPr>
      <w:r>
        <w:rPr>
          <w:b/>
          <w:i w:val="false"/>
          <w:color w:val="1A1A1A"/>
          <w:sz w:val="26"/>
        </w:rPr>
        <w:t>Traitements effectués</w:t>
      </w:r>
    </w:p>
    <w:p>
      <w:pPr>
        <w:pStyle w:val="Normal"/>
        <w:spacing w:before="0" w:after="60"/>
        <w:ind w:hanging="340" w:left="454"/>
        <w:rPr>
          <w:rFonts w:ascii="Arial" w:hAnsi="Arial"/>
          <w:b w:val="false"/>
          <w:i w:val="false"/>
          <w:i w:val="false"/>
          <w:sz w:val="24"/>
        </w:rPr>
      </w:pPr>
      <w:r>
        <w:rPr>
          <w:b w:val="false"/>
          <w:i w:val="false"/>
          <w:sz w:val="24"/>
        </w:rPr>
        <w:t>1. Lecture des fichiers TXT (séparateur « | »), sélection des colonnes utiles uniquement.</w:t>
      </w:r>
    </w:p>
    <w:p>
      <w:pPr>
        <w:pStyle w:val="Normal"/>
        <w:spacing w:before="0" w:after="60"/>
        <w:ind w:hanging="340" w:left="454"/>
        <w:rPr>
          <w:rFonts w:ascii="Arial" w:hAnsi="Arial"/>
          <w:b w:val="false"/>
          <w:i w:val="false"/>
          <w:i w:val="false"/>
          <w:sz w:val="24"/>
        </w:rPr>
      </w:pPr>
      <w:r>
        <w:rPr>
          <w:b w:val="false"/>
          <w:i w:val="false"/>
          <w:sz w:val="24"/>
        </w:rPr>
        <w:t>2. Suppression des lignes sans Valeur foncière ou Surface réelle bâtie.</w:t>
      </w:r>
    </w:p>
    <w:p>
      <w:pPr>
        <w:pStyle w:val="Normal"/>
        <w:spacing w:before="0" w:after="60"/>
        <w:ind w:hanging="340" w:left="454"/>
        <w:rPr>
          <w:rFonts w:ascii="Arial" w:hAnsi="Arial"/>
          <w:b w:val="false"/>
          <w:i w:val="false"/>
          <w:i w:val="false"/>
          <w:sz w:val="24"/>
        </w:rPr>
      </w:pPr>
      <w:r>
        <w:rPr>
          <w:b w:val="false"/>
          <w:i w:val="false"/>
          <w:sz w:val="24"/>
        </w:rPr>
        <w:t>3. Conversion des types : virgule → point pour les numériques, parsing des dates.</w:t>
      </w:r>
    </w:p>
    <w:p>
      <w:pPr>
        <w:pStyle w:val="Normal"/>
        <w:spacing w:before="0" w:after="60"/>
        <w:ind w:hanging="340" w:left="454"/>
        <w:rPr>
          <w:rFonts w:ascii="Arial" w:hAnsi="Arial"/>
          <w:b w:val="false"/>
          <w:i w:val="false"/>
          <w:i w:val="false"/>
          <w:sz w:val="24"/>
        </w:rPr>
      </w:pPr>
      <w:r>
        <w:rPr>
          <w:b w:val="false"/>
          <w:i w:val="false"/>
          <w:sz w:val="24"/>
        </w:rPr>
        <w:t>4. Filtrage géographique : codes postaux à 5 chiffres, départements IDF uniquement (75, 77, 78, 91, 92, 93, 94, 95).</w:t>
      </w:r>
    </w:p>
    <w:p>
      <w:pPr>
        <w:pStyle w:val="Normal"/>
        <w:spacing w:before="0" w:after="60"/>
        <w:ind w:hanging="340" w:left="454"/>
        <w:rPr>
          <w:rFonts w:ascii="Arial" w:hAnsi="Arial"/>
          <w:b w:val="false"/>
          <w:i w:val="false"/>
          <w:i w:val="false"/>
          <w:sz w:val="24"/>
        </w:rPr>
      </w:pPr>
      <w:r>
        <w:rPr>
          <w:b w:val="false"/>
          <w:i w:val="false"/>
          <w:sz w:val="24"/>
        </w:rPr>
        <w:t>5. Filtrage métier : type_bien ∈ { Appartement → apartment, Maison → house }.</w:t>
      </w:r>
    </w:p>
    <w:p>
      <w:pPr>
        <w:pStyle w:val="Normal"/>
        <w:spacing w:before="0" w:after="60"/>
        <w:ind w:hanging="340" w:left="454"/>
        <w:rPr>
          <w:rFonts w:ascii="Arial" w:hAnsi="Arial"/>
          <w:b w:val="false"/>
          <w:i w:val="false"/>
          <w:i w:val="false"/>
          <w:sz w:val="24"/>
        </w:rPr>
      </w:pPr>
      <w:r>
        <w:rPr>
          <w:b w:val="false"/>
          <w:i w:val="false"/>
          <w:sz w:val="24"/>
        </w:rPr>
        <w:t>6. Calcul de prix_au_m2 = Valeur foncière / Surface (arrondi à 2 décimales).</w:t>
      </w:r>
    </w:p>
    <w:p>
      <w:pPr>
        <w:pStyle w:val="Normal"/>
        <w:spacing w:before="0" w:after="60"/>
        <w:ind w:hanging="340" w:left="454"/>
        <w:rPr>
          <w:rFonts w:ascii="Arial" w:hAnsi="Arial"/>
          <w:b w:val="false"/>
          <w:i w:val="false"/>
          <w:i w:val="false"/>
          <w:sz w:val="24"/>
        </w:rPr>
      </w:pPr>
      <w:r>
        <w:rPr>
          <w:b w:val="false"/>
          <w:i w:val="false"/>
          <w:sz w:val="24"/>
        </w:rPr>
        <w:t>7. Construction de la colonne adresse (concaténation normalisée).</w:t>
      </w:r>
    </w:p>
    <w:p>
      <w:pPr>
        <w:pStyle w:val="Normal"/>
        <w:spacing w:before="0" w:after="60"/>
        <w:ind w:hanging="340" w:left="454"/>
        <w:rPr>
          <w:rFonts w:ascii="Arial" w:hAnsi="Arial"/>
          <w:b w:val="false"/>
          <w:i w:val="false"/>
          <w:i w:val="false"/>
          <w:sz w:val="24"/>
        </w:rPr>
      </w:pPr>
      <w:r>
        <w:rPr>
          <w:b w:val="false"/>
          <w:i w:val="false"/>
          <w:sz w:val="24"/>
        </w:rPr>
        <w:t>8. Suppression des doublons stricts (adresse + date + prix).</w:t>
      </w:r>
    </w:p>
    <w:p>
      <w:pPr>
        <w:pStyle w:val="Normal"/>
        <w:spacing w:before="0" w:after="60"/>
        <w:ind w:hanging="340" w:left="454"/>
        <w:rPr>
          <w:rFonts w:ascii="Arial" w:hAnsi="Arial"/>
          <w:b w:val="false"/>
          <w:i w:val="false"/>
          <w:i w:val="false"/>
          <w:sz w:val="24"/>
        </w:rPr>
      </w:pPr>
      <w:r>
        <w:rPr>
          <w:b w:val="false"/>
          <w:i w:val="false"/>
          <w:sz w:val="24"/>
        </w:rPr>
        <w:t>9. Export CSV : DVF_clean_2023_2024.csv.</w:t>
      </w:r>
    </w:p>
    <w:p>
      <w:pPr>
        <w:pStyle w:val="Normal"/>
        <w:pBdr>
          <w:bottom w:val="single" w:sz="4" w:space="0" w:color="E0E0E0"/>
        </w:pBdr>
        <w:spacing w:before="120" w:after="120"/>
        <w:rPr/>
      </w:pPr>
      <w:r>
        <w:rPr/>
      </w:r>
    </w:p>
    <w:p>
      <w:pPr>
        <w:pStyle w:val="Normal"/>
        <w:pBdr>
          <w:left w:val="single" w:sz="30" w:space="0" w:color="E85D04"/>
        </w:pBdr>
        <w:spacing w:before="360" w:after="120"/>
        <w:ind w:left="227"/>
        <w:rPr>
          <w:rFonts w:ascii="Arial" w:hAnsi="Arial"/>
          <w:b/>
          <w:i w:val="false"/>
          <w:i w:val="false"/>
          <w:color w:val="1A1A1A"/>
          <w:sz w:val="28"/>
        </w:rPr>
      </w:pPr>
      <w:r>
        <w:rPr>
          <w:b/>
          <w:i w:val="false"/>
          <w:color w:val="1A1A1A"/>
          <w:sz w:val="28"/>
        </w:rPr>
        <w:t>4.  TECHNIQUE</w:t>
      </w:r>
    </w:p>
    <w:p>
      <w:pPr>
        <w:pStyle w:val="Normal"/>
        <w:spacing w:before="240" w:after="80"/>
        <w:rPr>
          <w:rFonts w:ascii="Arial" w:hAnsi="Arial"/>
          <w:b/>
          <w:i w:val="false"/>
          <w:i w:val="false"/>
          <w:color w:val="1A1A1A"/>
          <w:sz w:val="26"/>
        </w:rPr>
      </w:pPr>
      <w:r>
        <w:rPr>
          <w:b/>
          <w:i w:val="false"/>
          <w:color w:val="1A1A1A"/>
          <w:sz w:val="26"/>
        </w:rPr>
        <w:t>Architecture de la solution</w:t>
      </w:r>
    </w:p>
    <w:p>
      <w:pPr>
        <w:pStyle w:val="Normal"/>
        <w:pBdr>
          <w:left w:val="single" w:sz="18" w:space="0" w:color="E85D04"/>
        </w:pBdr>
        <w:shd w:val="clear" w:fill="1E1E2E"/>
        <w:spacing w:before="80" w:after="160"/>
        <w:ind w:left="170" w:right="170"/>
        <w:rPr>
          <w:rFonts w:ascii="Courier New" w:hAnsi="Courier New"/>
          <w:color w:val="CDD6F4"/>
          <w:sz w:val="18"/>
        </w:rPr>
      </w:pPr>
      <w:r>
        <w:rPr>
          <w:rFonts w:ascii="Courier New" w:hAnsi="Courier New"/>
          <w:color w:val="CDD6F4"/>
          <w:sz w:val="18"/>
        </w:rPr>
        <w:t>UTILISATEUR (Browser) — http://localhost:8501</w:t>
        <w:br/>
        <w:t xml:space="preserve">        │</w:t>
        <w:br/>
        <w:t xml:space="preserve">        ▼  HTTP</w:t>
        <w:br/>
        <w:t>FRONTEND — React + Vite + TypeScript (port 8501)</w:t>
        <w:br/>
        <w:t xml:space="preserve">  ├── Home.tsx             (page d'accueil)</w:t>
        <w:br/>
        <w:t xml:space="preserve">  ├── Estimator.tsx        (formulaire d'estimation)</w:t>
        <w:br/>
        <w:t xml:space="preserve">  └── EstimationResult.tsx (affichage résultat)</w:t>
        <w:br/>
        <w:t xml:space="preserve">        │</w:t>
        <w:br/>
        <w:t xml:space="preserve">        ▼  JSON REST</w:t>
        <w:br/>
        <w:t>BACKEND — FastAPI (port 8000)</w:t>
        <w:br/>
        <w:t xml:space="preserve">  ├── GET  /api/health</w:t>
        <w:br/>
        <w:t xml:space="preserve">  ├── GET  /api/metadata/communes</w:t>
        <w:br/>
        <w:t xml:space="preserve">  └── POST /api/predictions/estimate</w:t>
        <w:br/>
        <w:t xml:space="preserve">        │</w:t>
        <w:br/>
        <w:t xml:space="preserve">        ├──► Modèle ML (RandomForest .pkl)</w:t>
        <w:br/>
        <w:t xml:space="preserve">        └──► DVF CSV (257 354 lignes)</w:t>
        <w:br/>
        <w:br/>
        <w:t>Infrastructure : Docker + Docker Compose</w:t>
      </w:r>
    </w:p>
    <w:p>
      <w:pPr>
        <w:pStyle w:val="Normal"/>
        <w:spacing w:before="240" w:after="80"/>
        <w:rPr>
          <w:b/>
          <w:i w:val="false"/>
          <w:i w:val="false"/>
          <w:color w:val="1A1A1A"/>
          <w:sz w:val="26"/>
        </w:rPr>
      </w:pPr>
      <w:r>
        <w:rPr>
          <w:b/>
          <w:i w:val="false"/>
          <w:color w:val="1A1A1A"/>
          <w:sz w:val="26"/>
        </w:rPr>
      </w:r>
    </w:p>
    <w:p>
      <w:pPr>
        <w:pStyle w:val="Normal"/>
        <w:spacing w:before="240" w:after="80"/>
        <w:rPr/>
      </w:pPr>
      <w:r>
        <w:rPr>
          <w:b/>
          <w:i w:val="false"/>
          <w:color w:val="1A1A1A"/>
          <w:sz w:val="26"/>
        </w:rPr>
        <w:t>Flux d'estimation</w:t>
      </w:r>
    </w:p>
    <w:p>
      <w:pPr>
        <w:pStyle w:val="Normal"/>
        <w:pBdr>
          <w:left w:val="single" w:sz="18" w:space="0" w:color="E85D04"/>
        </w:pBdr>
        <w:shd w:val="clear" w:fill="1E1E2E"/>
        <w:spacing w:before="80" w:after="160"/>
        <w:ind w:left="170" w:right="170"/>
        <w:rPr>
          <w:rFonts w:ascii="Courier New" w:hAnsi="Courier New"/>
          <w:color w:val="CDD6F4"/>
          <w:sz w:val="18"/>
        </w:rPr>
      </w:pPr>
      <w:r>
        <w:rPr>
          <w:rFonts w:ascii="Courier New" w:hAnsi="Courier New"/>
          <w:color w:val="CDD6F4"/>
          <w:sz w:val="18"/>
        </w:rPr>
        <w:t>Requête POST /api/predictions/estimate</w:t>
        <w:br/>
        <w:t xml:space="preserve">        │</w:t>
        <w:br/>
        <w:t xml:space="preserve">        ▼</w:t>
        <w:br/>
        <w:t>Modèle ML disponible ?</w:t>
        <w:br/>
        <w:t xml:space="preserve">  OUI ──► Prédiction RandomForest Pipeline</w:t>
        <w:br/>
        <w:t xml:space="preserve">  NON ──► DVF chargé ?</w:t>
        <w:br/>
        <w:t xml:space="preserve">            OUI ──► Recherche transactions similaires</w:t>
        <w:br/>
        <w:t xml:space="preserve">                    → médiane prix/m² × surface</w:t>
        <w:br/>
        <w:t xml:space="preserve">            NON ──► Fallback mock (7 000 €/m²)</w:t>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t>Algorithme de recherche DVF</w:t>
      </w:r>
    </w:p>
    <w:p>
      <w:pPr>
        <w:pStyle w:val="Normal"/>
        <w:pBdr>
          <w:left w:val="single" w:sz="18" w:space="0" w:color="E85D04"/>
        </w:pBdr>
        <w:shd w:val="clear" w:fill="1E1E2E"/>
        <w:spacing w:before="80" w:after="160"/>
        <w:ind w:left="170" w:right="170"/>
        <w:rPr>
          <w:rFonts w:ascii="Courier New" w:hAnsi="Courier New"/>
          <w:color w:val="CDD6F4"/>
          <w:sz w:val="18"/>
        </w:rPr>
      </w:pPr>
      <w:r>
        <w:rPr>
          <w:rFonts w:ascii="Courier New" w:hAnsi="Courier New"/>
          <w:color w:val="CDD6F4"/>
          <w:sz w:val="18"/>
        </w:rPr>
        <w:t>1. Filtre strict : commune + type_bien + surface ± 20 %</w:t>
        <w:br/>
        <w:t>2. Si vide → élargissement ± 35 %, puis ± 50 %</w:t>
        <w:br/>
        <w:t>3. Si vide → fallback sur préfixe de commune</w:t>
        <w:br/>
        <w:t>4. Calcul :</w:t>
        <w:br/>
        <w:t xml:space="preserve">     prix_estimé = médiane(prix_au_m2) × surface</w:t>
        <w:br/>
        <w:t xml:space="preserve">     borne_basse = Q1(prix_au_m2)      × surface</w:t>
        <w:br/>
        <w:t xml:space="preserve">     borne_haute = Q3(prix_au_m2)      × surface</w:t>
        <w:br/>
        <w:t xml:space="preserve">     confiance   = min(1.0 ; n_transactions / 50)</w:t>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t>Outils et langages utilisés</w:t>
      </w:r>
    </w:p>
    <w:tbl>
      <w:tblPr>
        <w:tblW w:w="9072" w:type="dxa"/>
        <w:jc w:val="left"/>
        <w:tblInd w:w="-113" w:type="dxa"/>
        <w:tblLayout w:type="fixed"/>
        <w:tblCellMar>
          <w:top w:w="0" w:type="dxa"/>
          <w:left w:w="108" w:type="dxa"/>
          <w:bottom w:w="0" w:type="dxa"/>
          <w:right w:w="108" w:type="dxa"/>
        </w:tblCellMar>
      </w:tblPr>
      <w:tblGrid>
        <w:gridCol w:w="3024"/>
        <w:gridCol w:w="3024"/>
        <w:gridCol w:w="3024"/>
      </w:tblGrid>
      <w:tr>
        <w:trPr/>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Composant</w:t>
            </w:r>
          </w:p>
        </w:tc>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Technologie</w:t>
            </w:r>
          </w:p>
        </w:tc>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Version</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Langage backend</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Python</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3.12</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API REST</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FastAPI</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0.128</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Validation données</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Pydantic</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2.12</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Traitement données</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Pandas</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2.3</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Machine Learning</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scikit-learn</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1.5.2</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Sérialisation modèle</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joblib</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1.4</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Frontend</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React + Vite + TypeScript</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CSS</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Tailwind CSS</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Conteneurisation</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Docker + Docker Compose</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Tests</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pytest</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9.0</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Serveur ASGI</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Uvicorn</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0.40</w:t>
            </w:r>
          </w:p>
        </w:tc>
      </w:tr>
    </w:tbl>
    <w:p>
      <w:pPr>
        <w:pStyle w:val="Normal"/>
        <w:rPr/>
      </w:pPr>
      <w:r>
        <w:rPr/>
      </w:r>
    </w:p>
    <w:p>
      <w:pPr>
        <w:pStyle w:val="Normal"/>
        <w:spacing w:before="240" w:after="80"/>
        <w:rPr>
          <w:rFonts w:ascii="Arial" w:hAnsi="Arial"/>
          <w:b/>
          <w:i w:val="false"/>
          <w:i w:val="false"/>
          <w:color w:val="1A1A1A"/>
          <w:sz w:val="26"/>
        </w:rPr>
      </w:pPr>
      <w:r>
        <w:rPr>
          <w:b/>
          <w:i w:val="false"/>
          <w:color w:val="1A1A1A"/>
          <w:sz w:val="26"/>
        </w:rPr>
        <w:t>Modèle Machine Learning</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Algorithme : RandomForestRegressor (200 arbres, random_state=42, n_jobs=-1).</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Features : commune (OneHotEncoded) + type_bien (OneHotEncoded) + surface_m2.</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Cible : prix_vente.</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Split : 80 % entraînement / 20 % validation.</w:t>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t>Résultats d'évaluation (50 000 lignes DVF 2023–2024)</w:t>
      </w:r>
    </w:p>
    <w:tbl>
      <w:tblPr>
        <w:tblW w:w="9072" w:type="dxa"/>
        <w:jc w:val="left"/>
        <w:tblInd w:w="-113" w:type="dxa"/>
        <w:tblLayout w:type="fixed"/>
        <w:tblCellMar>
          <w:top w:w="0" w:type="dxa"/>
          <w:left w:w="108" w:type="dxa"/>
          <w:bottom w:w="0" w:type="dxa"/>
          <w:right w:w="108" w:type="dxa"/>
        </w:tblCellMar>
      </w:tblPr>
      <w:tblGrid>
        <w:gridCol w:w="3024"/>
        <w:gridCol w:w="3024"/>
        <w:gridCol w:w="3024"/>
      </w:tblGrid>
      <w:tr>
        <w:trPr/>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Modèle</w:t>
            </w:r>
          </w:p>
        </w:tc>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MAE (€)</w:t>
            </w:r>
          </w:p>
        </w:tc>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MAPE (%)</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Baseline — médiane prix/m² par commune + type</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~190 882</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~158.5 %</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**RandomForest — commune + type + surface</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~244 177</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~182.0 %</w:t>
            </w:r>
          </w:p>
        </w:tc>
      </w:tr>
    </w:tbl>
    <w:p>
      <w:pPr>
        <w:pStyle w:val="Normal"/>
        <w:rPr/>
      </w:pPr>
      <w:r>
        <w:rPr/>
      </w:r>
    </w:p>
    <w:p>
      <w:pPr>
        <w:pStyle w:val="Normal"/>
        <w:pBdr>
          <w:left w:val="single" w:sz="18" w:space="0" w:color="E85D04"/>
        </w:pBdr>
        <w:shd w:val="clear" w:fill="FFF8F0"/>
        <w:spacing w:before="80" w:after="160"/>
        <w:ind w:left="283" w:right="283"/>
        <w:rPr/>
      </w:pPr>
      <w:r>
        <w:rPr>
          <w:b w:val="false"/>
          <w:i/>
          <w:color w:val="555555"/>
          <w:sz w:val="22"/>
        </w:rPr>
        <w:t>La baseline statistique surpasse le RandomForest à ce stade. Les MAPE élevés s'expliquent par les outliers non filtrés et le manque de features discriminantes.</w:t>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t>Justification des choix techniques</w:t>
      </w:r>
    </w:p>
    <w:p>
      <w:pPr>
        <w:pStyle w:val="Normal"/>
        <w:spacing w:before="0" w:after="120"/>
        <w:jc w:val="both"/>
        <w:rPr>
          <w:rFonts w:ascii="Arial" w:hAnsi="Arial"/>
          <w:b w:val="false"/>
          <w:i w:val="false"/>
          <w:i w:val="false"/>
          <w:sz w:val="24"/>
        </w:rPr>
      </w:pPr>
      <w:r>
        <w:rPr>
          <w:b w:val="false"/>
          <w:i w:val="false"/>
          <w:sz w:val="24"/>
        </w:rPr>
        <w:t>FastAPI a été retenu pour sa légèreté, sa documentation automatique (Swagger) et ses performances asynchrones. React + Vite offre un développement frontend réactif avec hot-reload, Tailwind CSS permettant un prototypage UI rapide sans configuration complexe. Le CSV remplace une base de données pour la simplicité de déploiement en phase prototype. scikit-learn fournit des pipelines reproductibles avec préprocessing intégré. Docker garantit une reproductibilité totale de l'environnement.</w:t>
      </w:r>
    </w:p>
    <w:p>
      <w:pPr>
        <w:pStyle w:val="Normal"/>
        <w:spacing w:before="0" w:after="120"/>
        <w:jc w:val="both"/>
        <w:rPr/>
      </w:pPr>
      <w:r>
        <w:rPr>
          <w:b w:val="false"/>
          <w:i w:val="false"/>
          <w:sz w:val="24"/>
        </w:rPr>
        <w:t xml:space="preserve">Alternative non retenue : </w:t>
      </w:r>
      <w:r>
        <w:rPr>
          <w:b/>
          <w:i w:val="false"/>
          <w:sz w:val="24"/>
        </w:rPr>
        <w:t>Streamlit</w:t>
      </w:r>
      <w:r>
        <w:rPr>
          <w:b w:val="false"/>
          <w:i w:val="false"/>
          <w:sz w:val="24"/>
        </w:rPr>
        <w:t xml:space="preserve"> (frontend) — initialement envisagé pour sa simplicité Python, remplacé par React pour plus de contrôle UI et de maintenabilité long terme.</w:t>
      </w:r>
    </w:p>
    <w:p>
      <w:pPr>
        <w:pStyle w:val="Normal"/>
        <w:pBdr>
          <w:bottom w:val="single" w:sz="4" w:space="0" w:color="E0E0E0"/>
        </w:pBdr>
        <w:spacing w:before="120" w:after="120"/>
        <w:rPr/>
      </w:pPr>
      <w:r>
        <w:rPr/>
      </w:r>
    </w:p>
    <w:p>
      <w:pPr>
        <w:pStyle w:val="Normal"/>
        <w:pBdr>
          <w:left w:val="single" w:sz="30" w:space="0" w:color="E85D04"/>
        </w:pBdr>
        <w:spacing w:before="360" w:after="120"/>
        <w:ind w:left="227"/>
        <w:rPr>
          <w:rFonts w:ascii="Arial" w:hAnsi="Arial"/>
          <w:b/>
          <w:i w:val="false"/>
          <w:i w:val="false"/>
          <w:color w:val="1A1A1A"/>
          <w:sz w:val="28"/>
        </w:rPr>
      </w:pPr>
      <w:r>
        <w:rPr>
          <w:b/>
          <w:i w:val="false"/>
          <w:color w:val="1A1A1A"/>
          <w:sz w:val="28"/>
        </w:rPr>
        <w:t>5.  MANUEL D'UTILISATION</w:t>
      </w:r>
    </w:p>
    <w:p>
      <w:pPr>
        <w:pStyle w:val="Normal"/>
        <w:spacing w:before="0" w:after="120"/>
        <w:jc w:val="both"/>
        <w:rPr/>
      </w:pPr>
      <w:r>
        <w:rPr>
          <w:b/>
          <w:i w:val="false"/>
          <w:sz w:val="24"/>
        </w:rPr>
        <w:t xml:space="preserve">Lien Git : </w:t>
      </w:r>
      <w:r>
        <w:rPr>
          <w:b w:val="false"/>
          <w:i w:val="false"/>
          <w:color w:val="E85D04"/>
          <w:sz w:val="24"/>
        </w:rPr>
        <w:t>https://github.com/khadija10/RealStateAI</w:t>
      </w:r>
      <w:r>
        <w:rPr>
          <w:b w:val="false"/>
          <w:i w:val="false"/>
          <w:sz w:val="24"/>
        </w:rPr>
        <w:t xml:space="preserve">  —  Branche </w:t>
      </w:r>
      <w:r>
        <w:rPr>
          <w:b/>
          <w:i w:val="false"/>
          <w:sz w:val="24"/>
        </w:rPr>
        <w:t>main</w:t>
      </w:r>
      <w:r>
        <w:rPr>
          <w:b w:val="false"/>
          <w:i w:val="false"/>
          <w:sz w:val="24"/>
        </w:rPr>
        <w:t xml:space="preserve">  —  Tag </w:t>
      </w:r>
      <w:r>
        <w:rPr>
          <w:b/>
          <w:i w:val="false"/>
          <w:sz w:val="24"/>
        </w:rPr>
        <w:t>v1.0</w:t>
      </w:r>
    </w:p>
    <w:p>
      <w:pPr>
        <w:pStyle w:val="Normal"/>
        <w:spacing w:before="0" w:after="120"/>
        <w:jc w:val="both"/>
        <w:rPr/>
      </w:pPr>
      <w:r>
        <w:rPr>
          <w:b/>
          <w:i w:val="false"/>
          <w:sz w:val="24"/>
        </w:rPr>
        <w:t xml:space="preserve">Prototype : </w:t>
      </w:r>
      <w:r>
        <w:rPr>
          <w:b w:val="false"/>
          <w:i w:val="false"/>
          <w:color w:val="E85D04"/>
          <w:sz w:val="24"/>
        </w:rPr>
        <w:t>http://localhost:8501</w:t>
      </w:r>
      <w:r>
        <w:rPr>
          <w:b w:val="false"/>
          <w:i w:val="false"/>
          <w:sz w:val="24"/>
        </w:rPr>
        <w:t xml:space="preserve">  (après docker compose up --build)</w:t>
      </w:r>
    </w:p>
    <w:p>
      <w:pPr>
        <w:pStyle w:val="Normal"/>
        <w:spacing w:before="0" w:after="120"/>
        <w:jc w:val="both"/>
        <w:rPr/>
      </w:pPr>
      <w:r>
        <w:rPr>
          <w:b/>
          <w:i w:val="false"/>
          <w:sz w:val="24"/>
        </w:rPr>
        <w:t xml:space="preserve">API Swagger : </w:t>
      </w:r>
      <w:r>
        <w:rPr>
          <w:b w:val="false"/>
          <w:i w:val="false"/>
          <w:color w:val="E85D04"/>
          <w:sz w:val="24"/>
        </w:rPr>
        <w:t>http://localhost:8000/docs</w:t>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t>Lancement rapide</w:t>
      </w:r>
    </w:p>
    <w:p>
      <w:pPr>
        <w:pStyle w:val="Normal"/>
        <w:pBdr>
          <w:left w:val="single" w:sz="18" w:space="0" w:color="E85D04"/>
        </w:pBdr>
        <w:shd w:val="clear" w:fill="1E1E2E"/>
        <w:spacing w:before="80" w:after="160"/>
        <w:ind w:left="170" w:right="170"/>
        <w:rPr>
          <w:rFonts w:ascii="Courier New" w:hAnsi="Courier New"/>
          <w:color w:val="CDD6F4"/>
          <w:sz w:val="18"/>
        </w:rPr>
      </w:pPr>
      <w:r>
        <w:rPr>
          <w:rFonts w:ascii="Courier New" w:hAnsi="Courier New"/>
          <w:color w:val="CDD6F4"/>
          <w:sz w:val="18"/>
        </w:rPr>
        <w:t>git clone https://github.com/khadija10/RealStateAI.git</w:t>
        <w:br/>
        <w:t>cd RealStateAI</w:t>
        <w:br/>
        <w:t>python3 -m venv data_env &amp;&amp; source data_env/bin/activate</w:t>
        <w:br/>
        <w:t>pip install -r requirements.txt</w:t>
        <w:br/>
        <w:br/>
        <w:t># Générer le CSV nettoyé</w:t>
        <w:br/>
        <w:t>cd "Backend/Data pipeline/Traitement"</w:t>
        <w:br/>
        <w:t>python3 -c "from dvf_data_pipeline import pipeline_dvf; pipeline_dvf('../Data/', 2024)"</w:t>
        <w:br/>
        <w:t>cd ~/RealStateAI</w:t>
        <w:br/>
        <w:br/>
        <w:t># Lancer l'application</w:t>
        <w:br/>
        <w:t>sudo docker compose up --build -d</w:t>
      </w:r>
    </w:p>
    <w:p>
      <w:pPr>
        <w:pStyle w:val="Normal"/>
        <w:spacing w:before="200" w:after="60"/>
        <w:rPr>
          <w:rFonts w:ascii="Arial" w:hAnsi="Arial"/>
          <w:b/>
          <w:i w:val="false"/>
          <w:i w:val="false"/>
          <w:color w:val="E85D04"/>
          <w:sz w:val="24"/>
        </w:rPr>
      </w:pPr>
      <w:r>
        <w:rPr>
          <w:b/>
          <w:i w:val="false"/>
          <w:color w:val="E85D04"/>
          <w:sz w:val="24"/>
        </w:rPr>
        <w:t>Fonctionnalité 1 — Page d'accueil</w:t>
      </w:r>
    </w:p>
    <w:p>
      <w:pPr>
        <w:pStyle w:val="Normal"/>
        <w:spacing w:before="0" w:after="120"/>
        <w:jc w:val="both"/>
        <w:rPr>
          <w:rFonts w:ascii="Arial" w:hAnsi="Arial"/>
          <w:b w:val="false"/>
          <w:i w:val="false"/>
          <w:i w:val="false"/>
          <w:sz w:val="24"/>
        </w:rPr>
      </w:pPr>
      <w:r>
        <w:rPr>
          <w:b w:val="false"/>
          <w:i w:val="false"/>
          <w:sz w:val="24"/>
        </w:rPr>
        <w:t>Présente les 3 piliers de l'outil (Données locales, Estimation rapide, Fourchette de prix) et oriente l'utilisateur vers le formulaire via un bouton d'appel à l'action.</w:t>
      </w:r>
    </w:p>
    <w:tbl>
      <w:tblPr>
        <w:tblW w:w="9072" w:type="dxa"/>
        <w:jc w:val="left"/>
        <w:tblInd w:w="-113" w:type="dxa"/>
        <w:tblLayout w:type="fixed"/>
        <w:tblCellMar>
          <w:top w:w="0" w:type="dxa"/>
          <w:left w:w="108" w:type="dxa"/>
          <w:bottom w:w="0" w:type="dxa"/>
          <w:right w:w="108" w:type="dxa"/>
        </w:tblCellMar>
      </w:tblPr>
      <w:tblGrid>
        <w:gridCol w:w="4536"/>
        <w:gridCol w:w="4535"/>
      </w:tblGrid>
      <w:tr>
        <w:trPr/>
        <w:tc>
          <w:tcPr>
            <w:tcW w:w="4536"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Pilier</w:t>
            </w:r>
          </w:p>
        </w:tc>
        <w:tc>
          <w:tcPr>
            <w:tcW w:w="4535"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Description</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Données Locales</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Analyse basée sur les transactions réelles de la commune sélectionnée.</w:t>
            </w:r>
          </w:p>
        </w:tc>
      </w:tr>
      <w:tr>
        <w:trPr/>
        <w:tc>
          <w:tcPr>
            <w:tcW w:w="4536"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Estimation Rapide</w:t>
            </w:r>
          </w:p>
        </w:tc>
        <w:tc>
          <w:tcPr>
            <w:tcW w:w="4535"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Résultat obtenu en quelques secondes via l'API FastAPI.</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Fourchette de Prix</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Intervalle de confiance Q1–Q3 calculé sur les transactions similaires.</w:t>
            </w:r>
          </w:p>
        </w:tc>
      </w:tr>
    </w:tbl>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60720" cy="29000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60720" cy="2900045"/>
                    </a:xfrm>
                    <a:prstGeom prst="rect">
                      <a:avLst/>
                    </a:prstGeom>
                  </pic:spPr>
                </pic:pic>
              </a:graphicData>
            </a:graphic>
          </wp:anchor>
        </w:drawing>
      </w:r>
    </w:p>
    <w:p>
      <w:pPr>
        <w:pStyle w:val="Normal"/>
        <w:spacing w:before="200" w:after="60"/>
        <w:rPr>
          <w:rFonts w:ascii="Arial" w:hAnsi="Arial"/>
          <w:b/>
          <w:i w:val="false"/>
          <w:i w:val="false"/>
          <w:color w:val="E85D04"/>
          <w:sz w:val="24"/>
        </w:rPr>
      </w:pPr>
      <w:r>
        <w:rPr>
          <w:b/>
          <w:i w:val="false"/>
          <w:color w:val="E85D04"/>
          <w:sz w:val="24"/>
        </w:rPr>
      </w:r>
    </w:p>
    <w:p>
      <w:pPr>
        <w:pStyle w:val="Normal"/>
        <w:spacing w:before="200" w:after="60"/>
        <w:rPr>
          <w:rFonts w:ascii="Arial" w:hAnsi="Arial"/>
          <w:b/>
          <w:i w:val="false"/>
          <w:i w:val="false"/>
          <w:color w:val="E85D04"/>
          <w:sz w:val="24"/>
        </w:rPr>
      </w:pPr>
      <w:r>
        <w:rPr>
          <w:b/>
          <w:i w:val="false"/>
          <w:color w:val="E85D04"/>
          <w:sz w:val="24"/>
        </w:rPr>
      </w:r>
    </w:p>
    <w:p>
      <w:pPr>
        <w:pStyle w:val="Normal"/>
        <w:spacing w:before="200" w:after="60"/>
        <w:rPr>
          <w:rFonts w:ascii="Arial" w:hAnsi="Arial"/>
          <w:b/>
          <w:i w:val="false"/>
          <w:i w:val="false"/>
          <w:color w:val="E85D04"/>
          <w:sz w:val="24"/>
        </w:rPr>
      </w:pPr>
      <w:r>
        <w:rPr>
          <w:b/>
          <w:i w:val="false"/>
          <w:color w:val="E85D04"/>
          <w:sz w:val="24"/>
        </w:rPr>
        <w:t>Fonctionnalité 2 — Formulaire d'estimation</w:t>
      </w:r>
    </w:p>
    <w:p>
      <w:pPr>
        <w:pStyle w:val="Normal"/>
        <w:spacing w:before="0" w:after="120"/>
        <w:jc w:val="both"/>
        <w:rPr>
          <w:rFonts w:ascii="Arial" w:hAnsi="Arial"/>
          <w:b w:val="false"/>
          <w:i w:val="false"/>
          <w:i w:val="false"/>
          <w:sz w:val="24"/>
        </w:rPr>
      </w:pPr>
      <w:r>
        <w:rPr>
          <w:b w:val="false"/>
          <w:i w:val="false"/>
          <w:sz w:val="24"/>
        </w:rPr>
        <w:t>L'utilisateur renseigne 5 champs pour décrire son bien :</w:t>
      </w:r>
    </w:p>
    <w:tbl>
      <w:tblPr>
        <w:tblW w:w="9072" w:type="dxa"/>
        <w:jc w:val="left"/>
        <w:tblInd w:w="-113" w:type="dxa"/>
        <w:tblLayout w:type="fixed"/>
        <w:tblCellMar>
          <w:top w:w="0" w:type="dxa"/>
          <w:left w:w="108" w:type="dxa"/>
          <w:bottom w:w="0" w:type="dxa"/>
          <w:right w:w="108" w:type="dxa"/>
        </w:tblCellMar>
      </w:tblPr>
      <w:tblGrid>
        <w:gridCol w:w="3024"/>
        <w:gridCol w:w="3024"/>
        <w:gridCol w:w="3024"/>
      </w:tblGrid>
      <w:tr>
        <w:trPr/>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Champ</w:t>
            </w:r>
          </w:p>
        </w:tc>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Type de saisie</w:t>
            </w:r>
          </w:p>
        </w:tc>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Exemple</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Commune</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Dropdown (liste DVF)</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PARIS 10</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Adresse</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Texte libre (optionnel)</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21 rue Proudhon, 93210 Saint-Denis</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Surface (m²)</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Numérique (±5 par bouton)</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65</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Nombre de pièces</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Numérique (±1 par bouton)</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3</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Type de bien</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Dropdown</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Appartement / Maison / Studio</w:t>
            </w:r>
          </w:p>
        </w:tc>
      </w:tr>
    </w:tbl>
    <w:p>
      <w:pPr>
        <w:pStyle w:val="Normal"/>
        <w:rPr/>
      </w:pPr>
      <w:r>
        <w:rPr/>
      </w:r>
    </w:p>
    <w:p>
      <w:pPr>
        <w:pStyle w:val="Normal"/>
        <w:rPr/>
      </w:pPr>
      <w:r>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60720" cy="29000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60720" cy="2900045"/>
                    </a:xfrm>
                    <a:prstGeom prst="rect">
                      <a:avLst/>
                    </a:prstGeom>
                  </pic:spPr>
                </pic:pic>
              </a:graphicData>
            </a:graphic>
          </wp:anchor>
        </w:drawing>
      </w:r>
    </w:p>
    <w:p>
      <w:pPr>
        <w:pStyle w:val="Normal"/>
        <w:spacing w:before="200" w:after="60"/>
        <w:rPr>
          <w:b/>
          <w:i w:val="false"/>
          <w:i w:val="false"/>
          <w:color w:val="E85D04"/>
          <w:sz w:val="24"/>
        </w:rPr>
      </w:pPr>
      <w:r>
        <w:rPr>
          <w:b/>
          <w:i w:val="false"/>
          <w:color w:val="E85D04"/>
          <w:sz w:val="24"/>
        </w:rPr>
      </w:r>
    </w:p>
    <w:p>
      <w:pPr>
        <w:pStyle w:val="Normal"/>
        <w:spacing w:before="200" w:after="60"/>
        <w:rPr/>
      </w:pPr>
      <w:r>
        <w:rPr>
          <w:b/>
          <w:i w:val="false"/>
          <w:color w:val="E85D04"/>
          <w:sz w:val="24"/>
        </w:rPr>
        <w:t>Fonctionnalité 3 — Résultat d'estimation</w:t>
      </w:r>
    </w:p>
    <w:p>
      <w:pPr>
        <w:pStyle w:val="Normal"/>
        <w:spacing w:before="0" w:after="120"/>
        <w:jc w:val="both"/>
        <w:rPr>
          <w:rFonts w:ascii="Arial" w:hAnsi="Arial"/>
          <w:b w:val="false"/>
          <w:i w:val="false"/>
          <w:i w:val="false"/>
          <w:sz w:val="24"/>
        </w:rPr>
      </w:pPr>
      <w:r>
        <w:rPr>
          <w:b w:val="false"/>
          <w:i w:val="false"/>
          <w:sz w:val="24"/>
        </w:rPr>
        <w:t>Après soumission, un panneau affiche le résultat structuré avec les éléments suivants :</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Prix total estimé (en €) affiché en grand.</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Prix au m² calculé à partir de la médiane des transactions similaires.</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Barre de fourchette interactive (Q1 – Q3) avec positionnement de l'estimation.</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Score de confiance : proportionnel au nombre de transactions trouvées (max à 50).</w:t>
      </w:r>
    </w:p>
    <w:p>
      <w:pPr>
        <w:pStyle w:val="ListBullet"/>
        <w:numPr>
          <w:ilvl w:val="0"/>
          <w:numId w:val="1"/>
        </w:numPr>
        <w:spacing w:before="0" w:after="40"/>
        <w:ind w:hanging="360" w:left="283"/>
        <w:contextualSpacing/>
        <w:rPr>
          <w:rFonts w:ascii="Arial" w:hAnsi="Arial"/>
          <w:b w:val="false"/>
          <w:i w:val="false"/>
          <w:i w:val="false"/>
          <w:sz w:val="24"/>
        </w:rPr>
      </w:pPr>
      <w:r>
        <w:rPr>
          <w:b w:val="false"/>
          <w:i w:val="false"/>
          <w:sz w:val="24"/>
        </w:rPr>
        <w:t>Modèle utilisé : dvf (statistique) / ml-simple (RandomForest) / mock (fallback).</w:t>
      </w:r>
    </w:p>
    <w:tbl>
      <w:tblPr>
        <w:tblW w:w="9072" w:type="dxa"/>
        <w:jc w:val="left"/>
        <w:tblInd w:w="-113" w:type="dxa"/>
        <w:tblLayout w:type="fixed"/>
        <w:tblCellMar>
          <w:top w:w="0" w:type="dxa"/>
          <w:left w:w="108" w:type="dxa"/>
          <w:bottom w:w="0" w:type="dxa"/>
          <w:right w:w="108" w:type="dxa"/>
        </w:tblCellMar>
      </w:tblPr>
      <w:tblGrid>
        <w:gridCol w:w="4536"/>
        <w:gridCol w:w="4535"/>
      </w:tblGrid>
      <w:tr>
        <w:trPr/>
        <w:tc>
          <w:tcPr>
            <w:tcW w:w="4536"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Information affichée</w:t>
            </w:r>
          </w:p>
        </w:tc>
        <w:tc>
          <w:tcPr>
            <w:tcW w:w="4535"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Source de calcul</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Prix estimé total</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médiane(prix_au_m2) × surface</w:t>
            </w:r>
          </w:p>
        </w:tc>
      </w:tr>
      <w:tr>
        <w:trPr/>
        <w:tc>
          <w:tcPr>
            <w:tcW w:w="4536"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Prix au m²</w:t>
            </w:r>
          </w:p>
        </w:tc>
        <w:tc>
          <w:tcPr>
            <w:tcW w:w="4535"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médiane(prix_au_m2) des transactions similaires</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Borne basse</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Q1(prix_au_m2) × surface</w:t>
            </w:r>
          </w:p>
        </w:tc>
      </w:tr>
      <w:tr>
        <w:trPr/>
        <w:tc>
          <w:tcPr>
            <w:tcW w:w="4536"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Borne haute</w:t>
            </w:r>
          </w:p>
        </w:tc>
        <w:tc>
          <w:tcPr>
            <w:tcW w:w="4535"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Q3(prix_au_m2) × surface</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Score de confiance</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min(100 % ; n_transactions / 50 × 100)</w:t>
            </w:r>
          </w:p>
        </w:tc>
      </w:tr>
    </w:tbl>
    <w:p>
      <w:pPr>
        <w:pStyle w:val="Normal"/>
        <w:rPr/>
      </w:pPr>
      <w:r>
        <w:rPr/>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60720" cy="290004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60720" cy="2900045"/>
                    </a:xfrm>
                    <a:prstGeom prst="rect">
                      <a:avLst/>
                    </a:prstGeom>
                  </pic:spPr>
                </pic:pic>
              </a:graphicData>
            </a:graphic>
          </wp:anchor>
        </w:drawing>
      </w:r>
    </w:p>
    <w:p>
      <w:pPr>
        <w:pStyle w:val="Normal"/>
        <w:spacing w:before="200" w:after="60"/>
        <w:rPr/>
      </w:pPr>
      <w:r>
        <w:rPr>
          <w:b/>
          <w:i w:val="false"/>
          <w:color w:val="E85D04"/>
          <w:sz w:val="24"/>
        </w:rPr>
        <w:t>Fonctionnalité 4 — API REST</w:t>
      </w:r>
    </w:p>
    <w:p>
      <w:pPr>
        <w:pStyle w:val="Normal"/>
        <w:spacing w:before="0" w:after="120"/>
        <w:jc w:val="both"/>
        <w:rPr>
          <w:rFonts w:ascii="Arial" w:hAnsi="Arial"/>
          <w:b w:val="false"/>
          <w:i w:val="false"/>
          <w:i w:val="false"/>
          <w:sz w:val="24"/>
        </w:rPr>
      </w:pPr>
      <w:r>
        <w:rPr>
          <w:b w:val="false"/>
          <w:i w:val="false"/>
          <w:sz w:val="24"/>
        </w:rPr>
        <w:t>Accès direct aux endpoints pour les développeurs ou les tests automatisés :</w:t>
      </w:r>
    </w:p>
    <w:tbl>
      <w:tblPr>
        <w:tblW w:w="9072" w:type="dxa"/>
        <w:jc w:val="left"/>
        <w:tblInd w:w="-113" w:type="dxa"/>
        <w:tblLayout w:type="fixed"/>
        <w:tblCellMar>
          <w:top w:w="0" w:type="dxa"/>
          <w:left w:w="108" w:type="dxa"/>
          <w:bottom w:w="0" w:type="dxa"/>
          <w:right w:w="108" w:type="dxa"/>
        </w:tblCellMar>
      </w:tblPr>
      <w:tblGrid>
        <w:gridCol w:w="3024"/>
        <w:gridCol w:w="3024"/>
        <w:gridCol w:w="3024"/>
      </w:tblGrid>
      <w:tr>
        <w:trPr/>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Endpoint</w:t>
            </w:r>
          </w:p>
        </w:tc>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Méthode</w:t>
            </w:r>
          </w:p>
        </w:tc>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Rôle</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/api/health</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GET</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Statut backend, DVF chargé, modèle ML</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/api/metadata/communes</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GET</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Liste des communes disponibles dans le dataset</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/api/predictions/estimate</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POST</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Estimation de prix (payload JSON)</w:t>
            </w:r>
          </w:p>
        </w:tc>
      </w:tr>
    </w:tbl>
    <w:p>
      <w:pPr>
        <w:pStyle w:val="Normal"/>
        <w:rPr/>
      </w:pPr>
      <w:r>
        <w:rPr/>
      </w:r>
    </w:p>
    <w:p>
      <w:pPr>
        <w:pStyle w:val="Normal"/>
        <w:spacing w:before="240" w:after="80"/>
        <w:rPr>
          <w:rFonts w:ascii="Arial" w:hAnsi="Arial"/>
          <w:b/>
          <w:i w:val="false"/>
          <w:i w:val="false"/>
          <w:color w:val="1A1A1A"/>
          <w:sz w:val="26"/>
        </w:rPr>
      </w:pPr>
      <w:r>
        <w:rPr>
          <w:b/>
          <w:i w:val="false"/>
          <w:color w:val="1A1A1A"/>
          <w:sz w:val="26"/>
        </w:rPr>
        <w:t>Exemple de requête / réponse API</w:t>
      </w:r>
    </w:p>
    <w:p>
      <w:pPr>
        <w:pStyle w:val="Normal"/>
        <w:pBdr>
          <w:left w:val="single" w:sz="18" w:space="0" w:color="E85D04"/>
        </w:pBdr>
        <w:shd w:val="clear" w:fill="1E1E2E"/>
        <w:spacing w:before="80" w:after="160"/>
        <w:ind w:left="170" w:right="170"/>
        <w:rPr>
          <w:rFonts w:ascii="Courier New" w:hAnsi="Courier New"/>
          <w:color w:val="CDD6F4"/>
          <w:sz w:val="18"/>
        </w:rPr>
      </w:pPr>
      <w:r>
        <w:rPr>
          <w:rFonts w:ascii="Courier New" w:hAnsi="Courier New"/>
          <w:color w:val="CDD6F4"/>
          <w:sz w:val="18"/>
        </w:rPr>
        <w:t>// POST /api/predictions/estimate</w:t>
        <w:br/>
        <w:t>{</w:t>
        <w:br/>
        <w:t xml:space="preserve">  "area_m2": 65,</w:t>
        <w:br/>
        <w:t xml:space="preserve">  "rooms": 3,</w:t>
        <w:br/>
        <w:t xml:space="preserve">  "property_type": "apartment",</w:t>
        <w:br/>
        <w:t xml:space="preserve">  "commune": "PARIS 10"</w:t>
        <w:br/>
        <w:t>}</w:t>
        <w:br/>
        <w:br/>
        <w:t>// Réponse</w:t>
        <w:br/>
        <w:t>{</w:t>
        <w:br/>
        <w:t xml:space="preserve">  "predicted_price": 458250.00,</w:t>
        <w:br/>
        <w:t xml:space="preserve">  "price_per_m2": 7050.00,</w:t>
        <w:br/>
        <w:t xml:space="preserve">  "confidence_interval": {</w:t>
        <w:br/>
        <w:t xml:space="preserve">    "lower": 389012.00,</w:t>
        <w:br/>
        <w:t xml:space="preserve">    "upper": 526987.00,</w:t>
        <w:br/>
        <w:t xml:space="preserve">    "confidence": 85</w:t>
        <w:br/>
        <w:t xml:space="preserve">  },</w:t>
        <w:br/>
        <w:t xml:space="preserve">  "model": "dvf"</w:t>
        <w:br/>
        <w:t>}</w:t>
      </w:r>
    </w:p>
    <w:p>
      <w:pPr>
        <w:pStyle w:val="Normal"/>
        <w:pBdr>
          <w:bottom w:val="single" w:sz="4" w:space="0" w:color="E0E0E0"/>
        </w:pBdr>
        <w:spacing w:before="120" w:after="12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0720" cy="290004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60720" cy="2900045"/>
                    </a:xfrm>
                    <a:prstGeom prst="rect">
                      <a:avLst/>
                    </a:prstGeom>
                  </pic:spPr>
                </pic:pic>
              </a:graphicData>
            </a:graphic>
          </wp:anchor>
        </w:drawing>
      </w:r>
    </w:p>
    <w:p>
      <w:pPr>
        <w:pStyle w:val="Normal"/>
        <w:pBdr>
          <w:bottom w:val="single" w:sz="4" w:space="0" w:color="E0E0E0"/>
        </w:pBdr>
        <w:spacing w:before="120" w:after="120"/>
        <w:rPr/>
      </w:pPr>
      <w:r>
        <w:rPr/>
      </w:r>
    </w:p>
    <w:p>
      <w:pPr>
        <w:pStyle w:val="Normal"/>
        <w:spacing w:before="240" w:after="80"/>
        <w:rPr>
          <w:rFonts w:ascii="Arial" w:hAnsi="Arial"/>
          <w:b/>
          <w:i w:val="false"/>
          <w:i w:val="false"/>
          <w:color w:val="1A1A1A"/>
          <w:sz w:val="26"/>
        </w:rPr>
      </w:pPr>
      <w:r>
        <w:rPr>
          <w:b/>
          <w:i w:val="false"/>
          <w:color w:val="1A1A1A"/>
          <w:sz w:val="26"/>
        </w:rPr>
        <w:t>Avancement global du prototype</w:t>
      </w:r>
    </w:p>
    <w:tbl>
      <w:tblPr>
        <w:tblW w:w="9072" w:type="dxa"/>
        <w:jc w:val="left"/>
        <w:tblInd w:w="-113" w:type="dxa"/>
        <w:tblLayout w:type="fixed"/>
        <w:tblCellMar>
          <w:top w:w="0" w:type="dxa"/>
          <w:left w:w="108" w:type="dxa"/>
          <w:bottom w:w="0" w:type="dxa"/>
          <w:right w:w="108" w:type="dxa"/>
        </w:tblCellMar>
      </w:tblPr>
      <w:tblGrid>
        <w:gridCol w:w="4536"/>
        <w:gridCol w:w="4535"/>
      </w:tblGrid>
      <w:tr>
        <w:trPr/>
        <w:tc>
          <w:tcPr>
            <w:tcW w:w="4536"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Module</w:t>
            </w:r>
          </w:p>
        </w:tc>
        <w:tc>
          <w:tcPr>
            <w:tcW w:w="4535"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Avancement</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Architecture</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80 %</w:t>
            </w:r>
          </w:p>
        </w:tc>
      </w:tr>
      <w:tr>
        <w:trPr/>
        <w:tc>
          <w:tcPr>
            <w:tcW w:w="4536"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Backend API</w:t>
            </w:r>
          </w:p>
        </w:tc>
        <w:tc>
          <w:tcPr>
            <w:tcW w:w="4535"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75 %</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Frontend</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70 %</w:t>
            </w:r>
          </w:p>
        </w:tc>
      </w:tr>
      <w:tr>
        <w:trPr/>
        <w:tc>
          <w:tcPr>
            <w:tcW w:w="4536"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Pipeline Data</w:t>
            </w:r>
          </w:p>
        </w:tc>
        <w:tc>
          <w:tcPr>
            <w:tcW w:w="4535"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50 %</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Modèle ML réel</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20 %</w:t>
            </w:r>
          </w:p>
        </w:tc>
      </w:tr>
      <w:tr>
        <w:trPr/>
        <w:tc>
          <w:tcPr>
            <w:tcW w:w="4536"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Production ready</w:t>
            </w:r>
          </w:p>
        </w:tc>
        <w:tc>
          <w:tcPr>
            <w:tcW w:w="4535"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30 %</w:t>
            </w:r>
          </w:p>
        </w:tc>
      </w:tr>
      <w:tr>
        <w:trPr/>
        <w:tc>
          <w:tcPr>
            <w:tcW w:w="4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**Global</w:t>
            </w:r>
          </w:p>
        </w:tc>
        <w:tc>
          <w:tcPr>
            <w:tcW w:w="453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 60 %</w:t>
            </w:r>
          </w:p>
        </w:tc>
      </w:tr>
    </w:tbl>
    <w:p>
      <w:pPr>
        <w:pStyle w:val="Normal"/>
        <w:rPr/>
      </w:pPr>
      <w:r>
        <w:rPr/>
      </w:r>
    </w:p>
    <w:p>
      <w:pPr>
        <w:pStyle w:val="Normal"/>
        <w:spacing w:before="240" w:after="80"/>
        <w:rPr>
          <w:rFonts w:ascii="Arial" w:hAnsi="Arial"/>
          <w:b/>
          <w:i w:val="false"/>
          <w:i w:val="false"/>
          <w:color w:val="1A1A1A"/>
          <w:sz w:val="26"/>
        </w:rPr>
      </w:pPr>
      <w:r>
        <w:rPr>
          <w:b/>
          <w:i w:val="false"/>
          <w:color w:val="1A1A1A"/>
          <w:sz w:val="26"/>
        </w:rPr>
        <w:t>Limites identifiées</w:t>
      </w:r>
    </w:p>
    <w:tbl>
      <w:tblPr>
        <w:tblW w:w="9072" w:type="dxa"/>
        <w:jc w:val="left"/>
        <w:tblInd w:w="-113" w:type="dxa"/>
        <w:tblLayout w:type="fixed"/>
        <w:tblCellMar>
          <w:top w:w="0" w:type="dxa"/>
          <w:left w:w="108" w:type="dxa"/>
          <w:bottom w:w="0" w:type="dxa"/>
          <w:right w:w="108" w:type="dxa"/>
        </w:tblCellMar>
      </w:tblPr>
      <w:tblGrid>
        <w:gridCol w:w="3024"/>
        <w:gridCol w:w="3024"/>
        <w:gridCol w:w="3024"/>
      </w:tblGrid>
      <w:tr>
        <w:trPr/>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Limite</w:t>
            </w:r>
          </w:p>
        </w:tc>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Impact</w:t>
            </w:r>
          </w:p>
        </w:tc>
        <w:tc>
          <w:tcPr>
            <w:tcW w:w="3024"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widowControl/>
              <w:spacing w:lineRule="auto" w:line="240" w:before="0" w:after="0"/>
              <w:jc w:val="left"/>
              <w:rPr>
                <w:rFonts w:ascii="Arial" w:hAnsi="Arial" w:eastAsia="ＭＳ 明朝"/>
                <w:b/>
                <w:i w:val="false"/>
                <w:i w:val="false"/>
                <w:color w:val="FFFFFF"/>
                <w:kern w:val="0"/>
                <w:sz w:val="22"/>
                <w:szCs w:val="22"/>
                <w:lang w:val="en-US" w:eastAsia="en-US" w:bidi="ar-SA"/>
              </w:rPr>
            </w:pPr>
            <w:r>
              <w:rPr>
                <w:rFonts w:eastAsia="ＭＳ 明朝"/>
                <w:b/>
                <w:i w:val="false"/>
                <w:color w:val="FFFFFF"/>
                <w:kern w:val="0"/>
                <w:sz w:val="22"/>
                <w:szCs w:val="22"/>
                <w:lang w:val="en-US" w:eastAsia="en-US" w:bidi="ar-SA"/>
              </w:rPr>
              <w:t>Priorité</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Pas de filtre outliers (IQR)</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Estimation biaisée sur petits échantillons</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Haute</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eastAsia="ＭＳ 明朝"/>
                <w:kern w:val="0"/>
                <w:szCs w:val="22"/>
                <w:lang w:val="en-US" w:eastAsia="en-US" w:bidi="ar-SA"/>
              </w:rPr>
            </w:pPr>
            <w:r>
              <w:rPr>
                <w:rFonts w:eastAsia="ＭＳ 明朝"/>
                <w:b w:val="false"/>
                <w:i w:val="false"/>
                <w:kern w:val="0"/>
                <w:sz w:val="22"/>
                <w:szCs w:val="22"/>
                <w:lang w:val="en-US" w:eastAsia="en-US" w:bidi="ar-SA"/>
              </w:rPr>
              <w:t>ML moins précis que la baseline</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eastAsia="ＭＳ 明朝"/>
                <w:kern w:val="0"/>
                <w:szCs w:val="22"/>
                <w:lang w:val="en-US" w:eastAsia="en-US" w:bidi="ar-SA"/>
              </w:rPr>
            </w:pPr>
            <w:r>
              <w:rPr>
                <w:rFonts w:eastAsia="ＭＳ 明朝"/>
                <w:b w:val="false"/>
                <w:i w:val="false"/>
                <w:kern w:val="0"/>
                <w:sz w:val="22"/>
                <w:szCs w:val="22"/>
                <w:lang w:val="en-US" w:eastAsia="en-US" w:bidi="ar-SA"/>
              </w:rPr>
              <w:t>Modèle non exploité en production</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Haute</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Granularité commune uniquement</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Imprécis pour Paris intra-muros</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Haute</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Pas de base de données (CSV)</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Pas de persistance, scalabilité limitée</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Moyenne</w:t>
            </w:r>
          </w:p>
        </w:tc>
      </w:tr>
      <w:tr>
        <w:trPr/>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2 lignes prix_au_m2 ≤ 0 résiduelles</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Bruit marginal</w:t>
            </w:r>
          </w:p>
        </w:tc>
        <w:tc>
          <w:tcPr>
            <w:tcW w:w="30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Basse</w:t>
            </w:r>
          </w:p>
        </w:tc>
      </w:tr>
      <w:tr>
        <w:trPr/>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Pas de déploiement cloud</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Usage local uniquement</w:t>
            </w:r>
          </w:p>
        </w:tc>
        <w:tc>
          <w:tcPr>
            <w:tcW w:w="3024" w:type="dxa"/>
            <w:tcBorders>
              <w:top w:val="single" w:sz="4" w:space="0" w:color="000000"/>
              <w:left w:val="single" w:sz="4" w:space="0" w:color="000000"/>
              <w:bottom w:val="single" w:sz="4" w:space="0" w:color="000000"/>
              <w:right w:val="single" w:sz="4" w:space="0" w:color="000000"/>
            </w:tcBorders>
            <w:shd w:fill="F8F8F8" w:val="clear"/>
            <w:vAlign w:val="center"/>
          </w:tcPr>
          <w:p>
            <w:pPr>
              <w:pStyle w:val="Normal"/>
              <w:widowControl/>
              <w:spacing w:lineRule="auto" w:line="240" w:before="0" w:after="0"/>
              <w:jc w:val="left"/>
              <w:rPr>
                <w:rFonts w:ascii="Arial" w:hAnsi="Arial" w:eastAsia="ＭＳ 明朝"/>
                <w:b w:val="false"/>
                <w:i w:val="false"/>
                <w:i w:val="false"/>
                <w:kern w:val="0"/>
                <w:sz w:val="22"/>
                <w:szCs w:val="22"/>
                <w:lang w:val="en-US" w:eastAsia="en-US" w:bidi="ar-SA"/>
              </w:rPr>
            </w:pPr>
            <w:r>
              <w:rPr>
                <w:rFonts w:eastAsia="ＭＳ 明朝"/>
                <w:b w:val="false"/>
                <w:i w:val="false"/>
                <w:kern w:val="0"/>
                <w:sz w:val="22"/>
                <w:szCs w:val="22"/>
                <w:lang w:val="en-US" w:eastAsia="en-US" w:bidi="ar-SA"/>
              </w:rPr>
              <w:t>Moyenne</w:t>
            </w:r>
          </w:p>
        </w:tc>
      </w:tr>
    </w:tbl>
    <w:p>
      <w:pPr>
        <w:pStyle w:val="Normal"/>
        <w:rPr/>
      </w:pPr>
      <w:r>
        <w:rPr/>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r>
    </w:p>
    <w:p>
      <w:pPr>
        <w:pStyle w:val="Normal"/>
        <w:spacing w:before="240" w:after="80"/>
        <w:rPr>
          <w:rFonts w:ascii="Arial" w:hAnsi="Arial"/>
          <w:b/>
          <w:i w:val="false"/>
          <w:i w:val="false"/>
          <w:color w:val="1A1A1A"/>
          <w:sz w:val="26"/>
        </w:rPr>
      </w:pPr>
      <w:r>
        <w:rPr>
          <w:b/>
          <w:i w:val="false"/>
          <w:color w:val="1A1A1A"/>
          <w:sz w:val="26"/>
        </w:rPr>
        <w:t>Pistes d'amélioration</w:t>
      </w:r>
    </w:p>
    <w:p>
      <w:pPr>
        <w:pStyle w:val="Normal"/>
        <w:spacing w:before="0" w:after="60"/>
        <w:ind w:hanging="340" w:left="454"/>
        <w:rPr>
          <w:rFonts w:ascii="Arial" w:hAnsi="Arial"/>
          <w:b w:val="false"/>
          <w:i w:val="false"/>
          <w:i w:val="false"/>
          <w:sz w:val="24"/>
        </w:rPr>
      </w:pPr>
      <w:r>
        <w:rPr>
          <w:b w:val="false"/>
          <w:i w:val="false"/>
          <w:sz w:val="24"/>
        </w:rPr>
        <w:t>1. Filtrage outliers : appliquer un filtre IQR (Q1 − 1.5×IQR ; Q3 + 1.5×IQR) sur prix_au_m2.</w:t>
      </w:r>
    </w:p>
    <w:p>
      <w:pPr>
        <w:pStyle w:val="Normal"/>
        <w:spacing w:before="0" w:after="60"/>
        <w:ind w:hanging="340" w:left="454"/>
        <w:rPr>
          <w:rFonts w:ascii="Arial" w:hAnsi="Arial"/>
          <w:b w:val="false"/>
          <w:i w:val="false"/>
          <w:i w:val="false"/>
          <w:sz w:val="24"/>
        </w:rPr>
      </w:pPr>
      <w:r>
        <w:rPr>
          <w:b w:val="false"/>
          <w:i w:val="false"/>
          <w:sz w:val="24"/>
        </w:rPr>
        <w:t>2. Enrichissement des features : année de transaction, département, données INSEE (revenus, chômage).</w:t>
      </w:r>
    </w:p>
    <w:p>
      <w:pPr>
        <w:pStyle w:val="Normal"/>
        <w:spacing w:before="0" w:after="60"/>
        <w:ind w:hanging="340" w:left="454"/>
        <w:rPr>
          <w:rFonts w:ascii="Arial" w:hAnsi="Arial"/>
          <w:b w:val="false"/>
          <w:i w:val="false"/>
          <w:i w:val="false"/>
          <w:sz w:val="24"/>
        </w:rPr>
      </w:pPr>
      <w:r>
        <w:rPr>
          <w:b w:val="false"/>
          <w:i w:val="false"/>
          <w:sz w:val="24"/>
        </w:rPr>
        <w:t>3. Modèle plus performant : XGBoost / LightGBM avec validation croisée — objectif MAPE &lt; 30 %.</w:t>
      </w:r>
    </w:p>
    <w:p>
      <w:pPr>
        <w:pStyle w:val="Normal"/>
        <w:spacing w:before="0" w:after="60"/>
        <w:ind w:hanging="340" w:left="454"/>
        <w:rPr>
          <w:rFonts w:ascii="Arial" w:hAnsi="Arial"/>
          <w:b w:val="false"/>
          <w:i w:val="false"/>
          <w:i w:val="false"/>
          <w:sz w:val="24"/>
        </w:rPr>
      </w:pPr>
      <w:r>
        <w:rPr>
          <w:b w:val="false"/>
          <w:i w:val="false"/>
          <w:sz w:val="24"/>
        </w:rPr>
        <w:t>4. Granularité géographique : passer au niveau code postal (arrondissement Paris) voire IRIS.</w:t>
      </w:r>
    </w:p>
    <w:p>
      <w:pPr>
        <w:pStyle w:val="Normal"/>
        <w:spacing w:before="0" w:after="60"/>
        <w:ind w:hanging="340" w:left="454"/>
        <w:rPr>
          <w:rFonts w:ascii="Arial" w:hAnsi="Arial"/>
          <w:b w:val="false"/>
          <w:i w:val="false"/>
          <w:i w:val="false"/>
          <w:sz w:val="24"/>
        </w:rPr>
      </w:pPr>
      <w:r>
        <w:rPr>
          <w:b w:val="false"/>
          <w:i w:val="false"/>
          <w:sz w:val="24"/>
        </w:rPr>
        <w:t>5. Base de données : intégrer PostgreSQL (schéma déjà présent dans db/init.sql).</w:t>
      </w:r>
    </w:p>
    <w:p>
      <w:pPr>
        <w:pStyle w:val="Normal"/>
        <w:spacing w:before="0" w:after="60"/>
        <w:ind w:hanging="340" w:left="454"/>
        <w:rPr>
          <w:rFonts w:ascii="Arial" w:hAnsi="Arial"/>
          <w:b w:val="false"/>
          <w:i w:val="false"/>
          <w:i w:val="false"/>
          <w:sz w:val="24"/>
        </w:rPr>
      </w:pPr>
      <w:r>
        <w:rPr>
          <w:b w:val="false"/>
          <w:i w:val="false"/>
          <w:sz w:val="24"/>
        </w:rPr>
        <w:t>6. Carte interactive : visualisation des transactions similaires sur carte IGN / Leaflet.</w:t>
      </w:r>
    </w:p>
    <w:p>
      <w:pPr>
        <w:pStyle w:val="Normal"/>
        <w:spacing w:before="0" w:after="60"/>
        <w:ind w:hanging="340" w:left="454"/>
        <w:rPr>
          <w:rFonts w:ascii="Arial" w:hAnsi="Arial"/>
          <w:b w:val="false"/>
          <w:i w:val="false"/>
          <w:i w:val="false"/>
          <w:sz w:val="24"/>
        </w:rPr>
      </w:pPr>
      <w:r>
        <w:rPr>
          <w:b w:val="false"/>
          <w:i w:val="false"/>
          <w:sz w:val="24"/>
        </w:rPr>
        <w:t>7. Déploiement cloud : CI/CD GitHub Actions → VPS ou cloud (Render, Railway, OVH).</w:t>
      </w:r>
    </w:p>
    <w:p>
      <w:pPr>
        <w:pStyle w:val="Normal"/>
        <w:spacing w:before="0" w:after="60"/>
        <w:ind w:hanging="340" w:left="454"/>
        <w:rPr>
          <w:rFonts w:ascii="Arial" w:hAnsi="Arial"/>
          <w:b w:val="false"/>
          <w:i w:val="false"/>
          <w:i w:val="false"/>
          <w:sz w:val="24"/>
        </w:rPr>
      </w:pPr>
      <w:r>
        <w:rPr>
          <w:b w:val="false"/>
          <w:i w:val="false"/>
          <w:sz w:val="24"/>
        </w:rPr>
        <w:t>8. Tests automatisés : couverture unitaire complète des utils et endpoints.</w:t>
      </w:r>
    </w:p>
    <w:p>
      <w:pPr>
        <w:pStyle w:val="Normal"/>
        <w:pBdr>
          <w:bottom w:val="single" w:sz="4" w:space="0" w:color="E0E0E0"/>
        </w:pBdr>
        <w:spacing w:before="120" w:after="120"/>
        <w:rPr/>
      </w:pPr>
      <w:r>
        <w:rPr/>
      </w:r>
    </w:p>
    <w:p>
      <w:pPr>
        <w:pStyle w:val="Normal"/>
        <w:spacing w:before="320" w:after="200"/>
        <w:jc w:val="center"/>
        <w:rPr>
          <w:rFonts w:ascii="Arial" w:hAnsi="Arial"/>
          <w:b w:val="false"/>
          <w:i w:val="false"/>
          <w:i w:val="false"/>
          <w:color w:val="555555"/>
          <w:sz w:val="18"/>
        </w:rPr>
      </w:pPr>
      <w:r>
        <w:rPr>
          <w:b w:val="false"/>
          <w:i w:val="false"/>
          <w:color w:val="555555"/>
          <w:sz w:val="18"/>
        </w:rPr>
        <w:t>Dossier rédigé le 12 mars 2026  ·  Prototype v1.0  ·  https://github.com/khadija10/RealStateAI</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Noto Sans Arabic UI"/>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left"/>
    </w:pPr>
    <w:rPr>
      <w:rFonts w:ascii="Arial" w:hAnsi="Arial" w:eastAsia="ＭＳ 明朝" w:cs="Noto Sans Arabic UI"/>
      <w:color w:val="auto"/>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Noto Sans Arabic UI"/>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Noto Sans Arabic UI"/>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Noto Sans Arabic UI"/>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Noto Sans Arabic UI"/>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Noto Sans Arabic UI"/>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Noto Sans Arabic UI"/>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Noto Sans Arabic UI"/>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Noto Sans Arabic UI"/>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Noto Sans Arabic UI"/>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Noto Sans Arabic UI"/>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Noto Sans Arabic UI"/>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Noto Sans Arabic UI"/>
      <w:b/>
      <w:bCs/>
      <w:color w:themeColor="accent1" w:val="4F81BD"/>
    </w:rPr>
  </w:style>
  <w:style w:type="character" w:styleId="TitleChar">
    <w:name w:val="Title Char"/>
    <w:basedOn w:val="DefaultParagraphFont"/>
    <w:link w:val="Title"/>
    <w:qFormat/>
    <w:rPr>
      <w:rFonts w:ascii="Calibri" w:hAnsi="Calibri" w:eastAsia="ＭＳ ゴシック" w:cs="Noto Sans Arabic UI"/>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Noto Sans Arabic UI"/>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Noto Sans Arabic UI"/>
      <w:b/>
      <w:bCs/>
      <w:i/>
      <w:iCs/>
      <w:color w:themeColor="accent1" w:val="4F81BD"/>
    </w:rPr>
  </w:style>
  <w:style w:type="character" w:styleId="Heading5Char">
    <w:name w:val="Heading 5 Char"/>
    <w:basedOn w:val="DefaultParagraphFont"/>
    <w:link w:val="Heading5"/>
    <w:qFormat/>
    <w:rPr>
      <w:rFonts w:ascii="Calibri" w:hAnsi="Calibri" w:eastAsia="ＭＳ ゴシック" w:cs="Noto Sans Arabic UI"/>
      <w:color w:themeColor="accent1" w:themeShade="7f" w:val="243F60"/>
    </w:rPr>
  </w:style>
  <w:style w:type="character" w:styleId="Heading6Char">
    <w:name w:val="Heading 6 Char"/>
    <w:basedOn w:val="DefaultParagraphFont"/>
    <w:link w:val="Heading6"/>
    <w:qFormat/>
    <w:rPr>
      <w:rFonts w:ascii="Calibri" w:hAnsi="Calibri" w:eastAsia="ＭＳ ゴシック" w:cs="Noto Sans Arabic UI"/>
      <w:i/>
      <w:iCs/>
      <w:color w:themeColor="accent1" w:themeShade="7f" w:val="243F60"/>
    </w:rPr>
  </w:style>
  <w:style w:type="character" w:styleId="Heading7Char">
    <w:name w:val="Heading 7 Char"/>
    <w:basedOn w:val="DefaultParagraphFont"/>
    <w:link w:val="Heading7"/>
    <w:qFormat/>
    <w:rPr>
      <w:rFonts w:ascii="Calibri" w:hAnsi="Calibri" w:eastAsia="ＭＳ ゴシック" w:cs="Noto Sans Arabic UI"/>
      <w:i/>
      <w:iCs/>
      <w:color w:themeColor="dark1" w:themeTint="bf" w:val="404040"/>
    </w:rPr>
  </w:style>
  <w:style w:type="character" w:styleId="Heading8Char">
    <w:name w:val="Heading 8 Char"/>
    <w:basedOn w:val="DefaultParagraphFont"/>
    <w:link w:val="Heading8"/>
    <w:qFormat/>
    <w:rPr>
      <w:rFonts w:ascii="Calibri" w:hAnsi="Calibri" w:eastAsia="ＭＳ ゴシック" w:cs="Noto Sans Arabic UI"/>
      <w:color w:themeColor="accent1" w:val="4F81BD"/>
      <w:sz w:val="20"/>
      <w:szCs w:val="20"/>
    </w:rPr>
  </w:style>
  <w:style w:type="character" w:styleId="Heading9Char">
    <w:name w:val="Heading 9 Char"/>
    <w:basedOn w:val="DefaultParagraphFont"/>
    <w:link w:val="Heading9"/>
    <w:qFormat/>
    <w:rPr>
      <w:rFonts w:ascii="Calibri" w:hAnsi="Calibri" w:eastAsia="ＭＳ ゴシック" w:cs="Noto Sans Arabic UI"/>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false"/>
      <w:bidi w:val="0"/>
      <w:spacing w:lineRule="auto" w:line="240" w:before="0" w:after="0"/>
      <w:jc w:val="left"/>
    </w:pPr>
    <w:rPr>
      <w:rFonts w:ascii="Cambria" w:hAnsi="Cambria" w:eastAsia="ＭＳ 明朝" w:cs="Noto Sans Arabic UI"/>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Noto Sans Arabic UI"/>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Noto Sans Arabic UI"/>
      <w:i/>
      <w:iCs/>
      <w:color w:themeColor="accent1" w:val="4F81BD"/>
      <w:spacing w:val="15"/>
      <w:sz w:val="24"/>
      <w:szCs w:val="24"/>
    </w:rPr>
  </w:style>
  <w:style w:type="paragraph" w:styleId="ListParagraph">
    <w:name w:val="List Paragraph"/>
    <w:basedOn w:val="Normal"/>
    <w:qFormat/>
    <w:pPr>
      <w:spacing w:before="0" w:after="20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left="720"/>
      <w:contextualSpacing/>
    </w:pPr>
    <w:rPr/>
  </w:style>
  <w:style w:type="paragraph" w:styleId="List3">
    <w:name w:val="List 3"/>
    <w:basedOn w:val="Normal"/>
    <w:qFormat/>
    <w:pPr>
      <w:spacing w:before="0" w:after="200"/>
      <w:ind w:hanging="360" w:lef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left"/>
    </w:pPr>
    <w:rPr>
      <w:rFonts w:ascii="Courier" w:hAnsi="Courier" w:eastAsia="ＭＳ 明朝" w:cs="Noto Sans Arabic UI"/>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11</Pages>
  <Words>1754</Words>
  <Characters>10253</Characters>
  <CharactersWithSpaces>11953</CharactersWithSpaces>
  <Paragraphs>257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2026-03-12T23:51:32Z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