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0F3EA8"/>
      </w:pPr>
    </w:p>
    <w:p>
      <w:pPr>
        <w:spacing w:before="0" w:after="0"/>
        <w:shd w:val="clear" w:color="auto" w:fill="0F3EA8"/>
      </w:pPr>
    </w:p>
    <w:p>
      <w:pPr>
        <w:spacing w:before="0" w:after="0"/>
        <w:shd w:val="clear" w:color="auto" w:fill="0F3EA8"/>
      </w:pPr>
    </w:p>
    <w:p>
      <w:pPr>
        <w:spacing w:before="0" w:after="0"/>
        <w:jc w:val="center"/>
        <w:shd w:val="clear" w:color="auto" w:fill="0F3EA8"/>
      </w:pPr>
      <w:r>
        <w:rPr>
          <w:rFonts w:ascii="Calibri" w:hAnsi="Calibri"/>
          <w:b/>
          <w:color w:val="BFD7FF"/>
          <w:sz w:val="18"/>
        </w:rPr>
        <w:t>PROJET SCOLAIRE — MACHINE LEARNING &amp; DATA ENGINEERING</w:t>
      </w:r>
    </w:p>
    <w:p>
      <w:pPr>
        <w:spacing w:before="360" w:after="80"/>
        <w:jc w:val="center"/>
        <w:shd w:val="clear" w:color="auto" w:fill="0F3EA8"/>
      </w:pPr>
      <w:r>
        <w:rPr>
          <w:rFonts w:ascii="Calibri" w:hAnsi="Calibri"/>
          <w:b/>
          <w:color w:val="FFFFFF"/>
          <w:sz w:val="76"/>
        </w:rPr>
        <w:t>RealEstateAI</w:t>
      </w:r>
    </w:p>
    <w:p>
      <w:pPr>
        <w:spacing w:before="0" w:after="480"/>
        <w:jc w:val="center"/>
        <w:shd w:val="clear" w:color="auto" w:fill="0F3EA8"/>
      </w:pPr>
      <w:r>
        <w:rPr>
          <w:rFonts w:ascii="Calibri" w:hAnsi="Calibri"/>
          <w:color w:val="BFD7FF"/>
          <w:sz w:val="28"/>
        </w:rPr>
        <w:t>Estimation immobilière par Machine Learning — Île-de-France</w:t>
      </w:r>
    </w:p>
    <w:p>
      <w:pPr>
        <w:spacing w:before="0" w:after="0"/>
        <w:jc w:val="center"/>
        <w:shd w:val="clear" w:color="auto" w:fill="0F3EA8"/>
      </w:pPr>
      <w:r>
        <w:rPr>
          <w:rFonts w:ascii="Calibri" w:hAnsi="Calibri"/>
          <w:b/>
          <w:color w:val="FFFFFF"/>
          <w:sz w:val="22"/>
        </w:rPr>
        <w:t>RAPPORT DE VERSION</w:t>
      </w:r>
    </w:p>
    <w:p>
      <w:pPr>
        <w:spacing w:before="120" w:after="600"/>
        <w:jc w:val="center"/>
        <w:shd w:val="clear" w:color="auto" w:fill="0F3EA8"/>
      </w:pPr>
      <w:r>
        <w:rPr>
          <w:rFonts w:ascii="Calibri" w:hAnsi="Calibri"/>
          <w:color w:val="BFD7FF"/>
          <w:sz w:val="22"/>
        </w:rPr>
        <w:t>v1.2  ·  Septembre 2026</w:t>
      </w:r>
    </w:p>
    <w:p>
      <w:pPr>
        <w:spacing w:before="0" w:after="0"/>
        <w:shd w:val="clear" w:color="auto" w:fill="0F3EA8"/>
      </w:pPr>
    </w:p>
    <w:p>
      <w:pPr>
        <w:spacing w:before="0" w:after="0"/>
        <w:shd w:val="clear" w:color="auto" w:fill="0F3EA8"/>
      </w:pPr>
    </w:p>
    <w:p>
      <w:pPr>
        <w:spacing w:before="0" w:after="280"/>
        <w:jc w:val="center"/>
        <w:shd w:val="clear" w:color="auto" w:fill="0F3EA8"/>
      </w:pPr>
      <w:r>
        <w:rPr>
          <w:color w:val="5B8DEA"/>
          <w:sz w:val="16"/>
        </w:rPr>
        <w:t>──────────────────────────────────────────</w:t>
      </w:r>
    </w:p>
    <w:p>
      <w:pPr>
        <w:spacing w:before="0" w:after="80"/>
        <w:jc w:val="center"/>
        <w:shd w:val="clear" w:color="auto" w:fill="0F3EA8"/>
      </w:pPr>
      <w:r>
        <w:rPr>
          <w:rFonts w:ascii="Calibri" w:hAnsi="Calibri"/>
          <w:b/>
          <w:color w:val="BFD7FF"/>
          <w:sz w:val="20"/>
        </w:rPr>
        <w:t xml:space="preserve">Données : </w:t>
      </w:r>
      <w:r>
        <w:rPr>
          <w:rFonts w:ascii="Calibri" w:hAnsi="Calibri"/>
          <w:color w:val="FFFFFF"/>
          <w:sz w:val="20"/>
        </w:rPr>
        <w:t>DVF 2021–2025 · 709 669 transactions · Île-de-France</w:t>
      </w:r>
    </w:p>
    <w:p>
      <w:pPr>
        <w:spacing w:before="0" w:after="80"/>
        <w:jc w:val="center"/>
        <w:shd w:val="clear" w:color="auto" w:fill="0F3EA8"/>
      </w:pPr>
      <w:r>
        <w:rPr>
          <w:rFonts w:ascii="Calibri" w:hAnsi="Calibri"/>
          <w:b/>
          <w:color w:val="BFD7FF"/>
          <w:sz w:val="20"/>
        </w:rPr>
        <w:t xml:space="preserve">Modèle : </w:t>
      </w:r>
      <w:r>
        <w:rPr>
          <w:rFonts w:ascii="Calibri" w:hAnsi="Calibri"/>
          <w:color w:val="FFFFFF"/>
          <w:sz w:val="20"/>
        </w:rPr>
        <w:t>LightGBM · MAPE 19.2 % · R² 0.778</w:t>
      </w:r>
    </w:p>
    <w:p>
      <w:pPr>
        <w:spacing w:before="0" w:after="80"/>
        <w:jc w:val="center"/>
        <w:shd w:val="clear" w:color="auto" w:fill="0F3EA8"/>
      </w:pPr>
      <w:r>
        <w:rPr>
          <w:rFonts w:ascii="Calibri" w:hAnsi="Calibri"/>
          <w:b/>
          <w:color w:val="BFD7FF"/>
          <w:sz w:val="20"/>
        </w:rPr>
        <w:t xml:space="preserve">Stack : </w:t>
      </w:r>
      <w:r>
        <w:rPr>
          <w:rFonts w:ascii="Calibri" w:hAnsi="Calibri"/>
          <w:color w:val="FFFFFF"/>
          <w:sz w:val="20"/>
        </w:rPr>
        <w:t>FastAPI · React 18 · Docker · BAN geocoding</w:t>
      </w:r>
    </w:p>
    <w:p>
      <w:pPr>
        <w:spacing w:before="0" w:after="80"/>
        <w:jc w:val="center"/>
        <w:shd w:val="clear" w:color="auto" w:fill="0F3EA8"/>
      </w:pPr>
      <w:r>
        <w:rPr>
          <w:rFonts w:ascii="Calibri" w:hAnsi="Calibri"/>
          <w:b/>
          <w:color w:val="BFD7FF"/>
          <w:sz w:val="20"/>
        </w:rPr>
        <w:t xml:space="preserve">Dépôt : </w:t>
      </w:r>
      <w:r>
        <w:rPr>
          <w:rFonts w:ascii="Calibri" w:hAnsi="Calibri"/>
          <w:color w:val="FFFFFF"/>
          <w:sz w:val="20"/>
        </w:rPr>
        <w:t>github.com/khadija10/RealStateAI</w:t>
      </w:r>
    </w:p>
    <w:p>
      <w:pPr>
        <w:spacing w:before="0" w:after="0"/>
        <w:shd w:val="clear" w:color="auto" w:fill="0F3EA8"/>
      </w:pPr>
    </w:p>
    <w:p>
      <w:pPr>
        <w:spacing w:before="0" w:after="0"/>
        <w:shd w:val="clear" w:color="auto" w:fill="0F3EA8"/>
      </w:pPr>
    </w:p>
    <w:p>
      <w:pPr>
        <w:spacing w:before="0" w:after="0"/>
        <w:shd w:val="clear" w:color="auto" w:fill="0F3EA8"/>
      </w:pPr>
    </w:p>
    <w:p>
      <w:pPr>
        <w:spacing w:before="0" w:after="0"/>
        <w:shd w:val="clear" w:color="auto" w:fill="0F3EA8"/>
      </w:pPr>
    </w:p>
    <w:p>
      <w:r>
        <w:br w:type="page"/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40" w:after="80"/>
      </w:pPr>
      <w:r>
        <w:rPr>
          <w:rFonts w:ascii="Calibri" w:hAnsi="Calibri"/>
          <w:b/>
          <w:color w:val="1A56DB"/>
          <w:sz w:val="26"/>
        </w:rPr>
        <w:t>1. CONTEXTE ET OBJECTIF</w:t>
      </w:r>
    </w:p>
    <w:p>
      <w:pPr>
        <w:spacing w:after="80"/>
      </w:pPr>
      <w:r>
        <w:rPr>
          <w:rFonts w:ascii="Calibri" w:hAnsi="Calibri"/>
          <w:sz w:val="20"/>
        </w:rPr>
        <w:t xml:space="preserve">Ce rapport documente les évolutions apportées à RealEstateAI entre le </w:t>
      </w:r>
      <w:r>
        <w:rPr>
          <w:rFonts w:ascii="Calibri" w:hAnsi="Calibri"/>
          <w:b/>
          <w:sz w:val="20"/>
        </w:rPr>
        <w:t>prototype v1.0 (mars 2026)</w:t>
      </w:r>
      <w:r>
        <w:rPr>
          <w:rFonts w:ascii="Calibri" w:hAnsi="Calibri"/>
          <w:sz w:val="20"/>
        </w:rPr>
        <w:t xml:space="preserve"> et la </w:t>
      </w:r>
      <w:r>
        <w:rPr>
          <w:rFonts w:ascii="Calibri" w:hAnsi="Calibri"/>
          <w:b/>
          <w:sz w:val="20"/>
        </w:rPr>
        <w:t>version v1.2 (septembre 2026)</w:t>
      </w:r>
      <w:r>
        <w:rPr>
          <w:rFonts w:ascii="Calibri" w:hAnsi="Calibri"/>
          <w:sz w:val="20"/>
        </w:rPr>
        <w:t>.</w:t>
      </w:r>
    </w:p>
    <w:p>
      <w:pPr>
        <w:spacing w:after="80"/>
      </w:pPr>
      <w:r>
        <w:rPr>
          <w:rFonts w:ascii="Calibri" w:hAnsi="Calibri"/>
          <w:sz w:val="20"/>
        </w:rPr>
        <w:t>Le prototype avait validé la faisabilité du pipeline complet DVF → API → interface, mais présentait des limites importantes : modèle ML inefficace (RandomForest, MAPE 182 %), granularité géographique limitée à la commune, absence de géolocalisation, et interface minimaliste. La version v1.2 traite ces limites de façon systématique.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40" w:after="80"/>
      </w:pPr>
      <w:r>
        <w:rPr>
          <w:rFonts w:ascii="Calibri" w:hAnsi="Calibri"/>
          <w:b/>
          <w:color w:val="1A56DB"/>
          <w:sz w:val="26"/>
        </w:rPr>
        <w:t>2. TABLEAU DE BORD — PROTOTYPE vs V1.2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DBEAFE"/>
          </w:tcPr>
          <w:p>
            <w:r/>
            <w:r>
              <w:rPr>
                <w:rFonts w:ascii="Calibri" w:hAnsi="Calibri"/>
                <w:b/>
                <w:color w:val="1E3A8A"/>
                <w:sz w:val="18"/>
              </w:rPr>
              <w:t>Axe</w:t>
            </w:r>
          </w:p>
        </w:tc>
        <w:tc>
          <w:tcPr>
            <w:tcW w:type="dxa" w:w="3022"/>
            <w:shd w:val="clear" w:color="auto" w:fill="DBEAFE"/>
          </w:tcPr>
          <w:p>
            <w:r/>
            <w:r>
              <w:rPr>
                <w:rFonts w:ascii="Calibri" w:hAnsi="Calibri"/>
                <w:b/>
                <w:color w:val="1E3A8A"/>
                <w:sz w:val="18"/>
              </w:rPr>
              <w:t>Prototype v1.0 (mars 2026)</w:t>
            </w:r>
          </w:p>
        </w:tc>
        <w:tc>
          <w:tcPr>
            <w:tcW w:type="dxa" w:w="3022"/>
            <w:shd w:val="clear" w:color="auto" w:fill="DBEAFE"/>
          </w:tcPr>
          <w:p>
            <w:r/>
            <w:r>
              <w:rPr>
                <w:rFonts w:ascii="Calibri" w:hAnsi="Calibri"/>
                <w:b/>
                <w:color w:val="1E3A8A"/>
                <w:sz w:val="18"/>
              </w:rPr>
              <w:t>Version v1.2 (sept. 2026)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alibri" w:hAnsi="Calibri"/>
                <w:b/>
                <w:sz w:val="18"/>
              </w:rPr>
              <w:t>Modèle ML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RandomForest — MAPE 182 %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LightGBM — MAPE 19.2 %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alibri" w:hAnsi="Calibri"/>
                <w:b/>
                <w:sz w:val="18"/>
              </w:rPr>
              <w:t>Référence statistique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Médiane commune — MAPE 158.5 %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Médiane commune (fallback DVF)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alibri" w:hAnsi="Calibri"/>
                <w:b/>
                <w:sz w:val="18"/>
              </w:rPr>
              <w:t>Données d'entraînement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257 354 transactions (2023–2024)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709 669 transactions (2021–2025)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alibri" w:hAnsi="Calibri"/>
                <w:b/>
                <w:sz w:val="18"/>
              </w:rPr>
              <w:t>Années couvertes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2023–2024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2021–2025 (S1)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alibri" w:hAnsi="Calibri"/>
                <w:b/>
                <w:sz w:val="18"/>
              </w:rPr>
              <w:t>Géolocalisation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Aucune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BAN (Base Adresse Nationale) — lat/lon, code commune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alibri" w:hAnsi="Calibri"/>
                <w:b/>
                <w:sz w:val="18"/>
              </w:rPr>
              <w:t>Features modèle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commune + type + surface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+ latitude, longitude, prix_m2_ref_12m, volumes dept, mois, trimestre, terrain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alibri" w:hAnsi="Calibri"/>
                <w:b/>
                <w:sz w:val="18"/>
              </w:rPr>
              <w:t>Granularité estimation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Commune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Adresse exacte (si fournie)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alibri" w:hAnsi="Calibri"/>
                <w:b/>
                <w:sz w:val="18"/>
              </w:rPr>
              <w:t>Prédictions dans ±20 %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~18 % (estimé RF)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69.2 %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alibri" w:hAnsi="Calibri"/>
                <w:b/>
                <w:sz w:val="18"/>
              </w:rPr>
              <w:t>Prédictions dans ±10 %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40.5 %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alibri" w:hAnsi="Calibri"/>
                <w:b/>
                <w:sz w:val="18"/>
              </w:rPr>
              <w:t>R² (prix/m²)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0.778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alibri" w:hAnsi="Calibri"/>
                <w:b/>
                <w:sz w:val="18"/>
              </w:rPr>
              <w:t>Interface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1 page (formulaire + résultat)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3 onglets : Estimation · Carte des prix · Référence du marché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alibri" w:hAnsi="Calibri"/>
                <w:b/>
                <w:sz w:val="18"/>
              </w:rPr>
              <w:t>Carte interactive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Non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Oui — Leaflet, 1 193 communes, filtres département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alibri" w:hAnsi="Calibri"/>
                <w:b/>
                <w:sz w:val="18"/>
              </w:rPr>
              <w:t>Tendances marché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Non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Oui — sparklines 2021–2025 par département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alibri" w:hAnsi="Calibri"/>
                <w:b/>
                <w:sz w:val="18"/>
              </w:rPr>
              <w:t>Confiance modèle affiché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Non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Oui — MAPE, méthode, n transactions, dispersion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alibri" w:hAnsi="Calibri"/>
                <w:b/>
                <w:sz w:val="18"/>
              </w:rPr>
              <w:t>Validation inputs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Basique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Ratio surface/pièces, type requis, commune conditionnelle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alibri" w:hAnsi="Calibri"/>
                <w:b/>
                <w:sz w:val="18"/>
              </w:rPr>
              <w:t>Docker / déploiement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Fonctionnel (sans ML)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ML intégré dans Docker (libgomp1, model path resolution)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alibri" w:hAnsi="Calibri"/>
                <w:b/>
                <w:sz w:val="18"/>
              </w:rPr>
              <w:t>Avancement estimé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60 %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85 %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4" w:space="1" w:color="D1D5DB"/>
        </w:pBdr>
      </w:pPr>
    </w:p>
    <w:p>
      <w:pPr>
        <w:spacing w:before="240" w:after="80"/>
      </w:pPr>
      <w:r>
        <w:rPr>
          <w:rFonts w:ascii="Calibri" w:hAnsi="Calibri"/>
          <w:b/>
          <w:color w:val="1A56DB"/>
          <w:sz w:val="26"/>
        </w:rPr>
        <w:t>3. AMÉLIORATIONS PAR RAPPORT AU PROTOTYPE</w:t>
      </w:r>
    </w:p>
    <w:p>
      <w:pPr>
        <w:spacing w:before="160" w:after="80"/>
      </w:pPr>
      <w:r>
        <w:rPr>
          <w:rFonts w:ascii="Calibri" w:hAnsi="Calibri"/>
          <w:b/>
          <w:color w:val="111827"/>
          <w:sz w:val="22"/>
        </w:rPr>
        <w:t>3.1 Modèle ML — passage RandomForest → LightGBM</w:t>
      </w:r>
    </w:p>
    <w:p>
      <w:pPr>
        <w:spacing w:after="80"/>
      </w:pPr>
      <w:r>
        <w:rPr>
          <w:rFonts w:ascii="Calibri" w:hAnsi="Calibri"/>
          <w:sz w:val="20"/>
        </w:rPr>
        <w:t>Le prototype utilisait un RandomForest scikit-learn avec 3 features (commune, type, surface). Il était moins précis que la baseline statistique simple, ce qui le rendait inutile en production.</w:t>
      </w:r>
    </w:p>
    <w:p>
      <w:pPr>
        <w:spacing w:after="80"/>
      </w:pPr>
      <w:r>
        <w:rPr>
          <w:rFonts w:ascii="Calibri" w:hAnsi="Calibri"/>
          <w:b/>
          <w:sz w:val="20"/>
        </w:rPr>
        <w:t>Ce qui a changé 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 xml:space="preserve">Remplacement par </w:t>
      </w:r>
      <w:r>
        <w:rPr>
          <w:rFonts w:ascii="Calibri" w:hAnsi="Calibri"/>
          <w:b/>
          <w:sz w:val="20"/>
        </w:rPr>
        <w:t>LightGBM</w:t>
      </w:r>
      <w:r>
        <w:rPr>
          <w:rFonts w:ascii="Calibri" w:hAnsi="Calibri"/>
          <w:sz w:val="20"/>
        </w:rPr>
        <w:t xml:space="preserve"> (</w:t>
      </w:r>
      <w:r>
        <w:rPr>
          <w:rFonts w:ascii="Courier New" w:hAnsi="Courier New"/>
          <w:sz w:val="18"/>
        </w:rPr>
        <w:t>lgb.LGBMRegressor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Pipeline gold parquet partitionné par année (</w:t>
      </w:r>
      <w:r>
        <w:rPr>
          <w:rFonts w:ascii="Courier New" w:hAnsi="Courier New"/>
          <w:sz w:val="18"/>
        </w:rPr>
        <w:t>data/processed/gold_transactions/annee=…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12 features</w:t>
      </w:r>
      <w:r>
        <w:rPr>
          <w:rFonts w:ascii="Calibri" w:hAnsi="Calibri"/>
          <w:sz w:val="20"/>
        </w:rPr>
        <w:t xml:space="preserve"> au lieu de 3 : coordonnées géographiques (latitude, longitude), prix_m2 de référence sur 12 mois, volumes de ventes commune + département, mois, trimestre, flag terrain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Split chronologique strict (train 2021–2024 / test 2025) pour éviter le data leakage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Filtrage IQR automatique des outliers prix/m²</w:t>
      </w:r>
    </w:p>
    <w:p>
      <w:pPr>
        <w:spacing w:after="80"/>
      </w:pPr>
      <w:r>
        <w:rPr>
          <w:rFonts w:ascii="Calibri" w:hAnsi="Calibri"/>
          <w:b/>
          <w:sz w:val="20"/>
        </w:rPr>
        <w:t>Résultats sur test 2025 (130 154 transactions)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DBEAFE"/>
          </w:tcPr>
          <w:p>
            <w:r/>
            <w:r>
              <w:rPr>
                <w:rFonts w:ascii="Calibri" w:hAnsi="Calibri"/>
                <w:b/>
                <w:color w:val="1E3A8A"/>
                <w:sz w:val="18"/>
              </w:rPr>
              <w:t>Métrique</w:t>
            </w:r>
          </w:p>
        </w:tc>
        <w:tc>
          <w:tcPr>
            <w:tcW w:type="dxa" w:w="2266"/>
            <w:shd w:val="clear" w:color="auto" w:fill="DBEAFE"/>
          </w:tcPr>
          <w:p>
            <w:r/>
            <w:r>
              <w:rPr>
                <w:rFonts w:ascii="Calibri" w:hAnsi="Calibri"/>
                <w:b/>
                <w:color w:val="1E3A8A"/>
                <w:sz w:val="18"/>
              </w:rPr>
              <w:t>Prototype RF</w:t>
            </w:r>
          </w:p>
        </w:tc>
        <w:tc>
          <w:tcPr>
            <w:tcW w:type="dxa" w:w="2266"/>
            <w:shd w:val="clear" w:color="auto" w:fill="DBEAFE"/>
          </w:tcPr>
          <w:p>
            <w:r/>
            <w:r>
              <w:rPr>
                <w:rFonts w:ascii="Calibri" w:hAnsi="Calibri"/>
                <w:b/>
                <w:color w:val="1E3A8A"/>
                <w:sz w:val="18"/>
              </w:rPr>
              <w:t>V1.2 LightGBM</w:t>
            </w:r>
          </w:p>
        </w:tc>
        <w:tc>
          <w:tcPr>
            <w:tcW w:type="dxa" w:w="2266"/>
            <w:shd w:val="clear" w:color="auto" w:fill="DBEAFE"/>
          </w:tcPr>
          <w:p>
            <w:r/>
            <w:r>
              <w:rPr>
                <w:rFonts w:ascii="Calibri" w:hAnsi="Calibri"/>
                <w:b/>
                <w:color w:val="1E3A8A"/>
                <w:sz w:val="18"/>
              </w:rPr>
              <w:t>Gain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Calibri" w:hAnsi="Calibri"/>
                <w:b/>
                <w:sz w:val="18"/>
              </w:rPr>
              <w:t>MAPE prix/m²</w:t>
            </w:r>
          </w:p>
        </w:tc>
        <w:tc>
          <w:tcPr>
            <w:tcW w:type="dxa" w:w="2266"/>
          </w:tcPr>
          <w:p>
            <w:r/>
            <w:r>
              <w:rPr>
                <w:rFonts w:ascii="Calibri" w:hAnsi="Calibri"/>
                <w:sz w:val="18"/>
              </w:rPr>
              <w:t>182 %</w:t>
            </w:r>
          </w:p>
        </w:tc>
        <w:tc>
          <w:tcPr>
            <w:tcW w:type="dxa" w:w="2266"/>
          </w:tcPr>
          <w:p>
            <w:r/>
            <w:r>
              <w:rPr>
                <w:rFonts w:ascii="Calibri" w:hAnsi="Calibri"/>
                <w:sz w:val="18"/>
              </w:rPr>
              <w:t>19.2 %</w:t>
            </w:r>
          </w:p>
        </w:tc>
        <w:tc>
          <w:tcPr>
            <w:tcW w:type="dxa" w:w="2266"/>
          </w:tcPr>
          <w:p>
            <w:r/>
            <w:r>
              <w:rPr>
                <w:rFonts w:ascii="Calibri" w:hAnsi="Calibri"/>
                <w:sz w:val="18"/>
              </w:rPr>
              <w:t>×9.5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Calibri" w:hAnsi="Calibri"/>
                <w:b/>
                <w:sz w:val="18"/>
              </w:rPr>
              <w:t>MAPE prix total</w:t>
            </w:r>
          </w:p>
        </w:tc>
        <w:tc>
          <w:tcPr>
            <w:tcW w:type="dxa" w:w="2266"/>
          </w:tcPr>
          <w:p>
            <w:r/>
            <w:r>
              <w:rPr>
                <w:rFonts w:ascii="Calibri" w:hAnsi="Calibri"/>
                <w:sz w:val="18"/>
              </w:rPr>
              <w:t>~158 % (baseline)</w:t>
            </w:r>
          </w:p>
        </w:tc>
        <w:tc>
          <w:tcPr>
            <w:tcW w:type="dxa" w:w="2266"/>
          </w:tcPr>
          <w:p>
            <w:r/>
            <w:r>
              <w:rPr>
                <w:rFonts w:ascii="Calibri" w:hAnsi="Calibri"/>
                <w:sz w:val="18"/>
              </w:rPr>
              <w:t>19.2 %</w:t>
            </w:r>
          </w:p>
        </w:tc>
        <w:tc>
          <w:tcPr>
            <w:tcW w:type="dxa" w:w="2266"/>
          </w:tcPr>
          <w:p>
            <w:r/>
            <w:r>
              <w:rPr>
                <w:rFonts w:ascii="Calibri" w:hAnsi="Calibri"/>
                <w:sz w:val="18"/>
              </w:rPr>
              <w:t>×8.2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Calibri" w:hAnsi="Calibri"/>
                <w:b/>
                <w:sz w:val="18"/>
              </w:rPr>
              <w:t>MAE prix/m²</w:t>
            </w:r>
          </w:p>
        </w:tc>
        <w:tc>
          <w:tcPr>
            <w:tcW w:type="dxa" w:w="2266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66"/>
          </w:tcPr>
          <w:p>
            <w:r/>
            <w:r>
              <w:rPr>
                <w:rFonts w:ascii="Calibri" w:hAnsi="Calibri"/>
                <w:sz w:val="18"/>
              </w:rPr>
              <w:t>999 €/m²</w:t>
            </w:r>
          </w:p>
        </w:tc>
        <w:tc>
          <w:tcPr>
            <w:tcW w:type="dxa" w:w="2266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Calibri" w:hAnsi="Calibri"/>
                <w:b/>
                <w:sz w:val="18"/>
              </w:rPr>
              <w:t>MAE prix total</w:t>
            </w:r>
          </w:p>
        </w:tc>
        <w:tc>
          <w:tcPr>
            <w:tcW w:type="dxa" w:w="2266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66"/>
          </w:tcPr>
          <w:p>
            <w:r/>
            <w:r>
              <w:rPr>
                <w:rFonts w:ascii="Calibri" w:hAnsi="Calibri"/>
                <w:sz w:val="18"/>
              </w:rPr>
              <w:t>66 634 €</w:t>
            </w:r>
          </w:p>
        </w:tc>
        <w:tc>
          <w:tcPr>
            <w:tcW w:type="dxa" w:w="2266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Calibri" w:hAnsi="Calibri"/>
                <w:b/>
                <w:sz w:val="18"/>
              </w:rPr>
              <w:t>R²</w:t>
            </w:r>
          </w:p>
        </w:tc>
        <w:tc>
          <w:tcPr>
            <w:tcW w:type="dxa" w:w="2266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66"/>
          </w:tcPr>
          <w:p>
            <w:r/>
            <w:r>
              <w:rPr>
                <w:rFonts w:ascii="Calibri" w:hAnsi="Calibri"/>
                <w:sz w:val="18"/>
              </w:rPr>
              <w:t>0.778</w:t>
            </w:r>
          </w:p>
        </w:tc>
        <w:tc>
          <w:tcPr>
            <w:tcW w:type="dxa" w:w="2266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Calibri" w:hAnsi="Calibri"/>
                <w:b/>
                <w:sz w:val="18"/>
              </w:rPr>
              <w:t>Dans ±10 %</w:t>
            </w:r>
          </w:p>
        </w:tc>
        <w:tc>
          <w:tcPr>
            <w:tcW w:type="dxa" w:w="2266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66"/>
          </w:tcPr>
          <w:p>
            <w:r/>
            <w:r>
              <w:rPr>
                <w:rFonts w:ascii="Calibri" w:hAnsi="Calibri"/>
                <w:sz w:val="18"/>
              </w:rPr>
              <w:t>40.5 %</w:t>
            </w:r>
          </w:p>
        </w:tc>
        <w:tc>
          <w:tcPr>
            <w:tcW w:type="dxa" w:w="2266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Calibri" w:hAnsi="Calibri"/>
                <w:b/>
                <w:sz w:val="18"/>
              </w:rPr>
              <w:t>Dans ±20 %</w:t>
            </w:r>
          </w:p>
        </w:tc>
        <w:tc>
          <w:tcPr>
            <w:tcW w:type="dxa" w:w="2266"/>
          </w:tcPr>
          <w:p>
            <w:r/>
            <w:r>
              <w:rPr>
                <w:rFonts w:ascii="Calibri" w:hAnsi="Calibri"/>
                <w:sz w:val="18"/>
              </w:rPr>
              <w:t>~18 %</w:t>
            </w:r>
          </w:p>
        </w:tc>
        <w:tc>
          <w:tcPr>
            <w:tcW w:type="dxa" w:w="2266"/>
          </w:tcPr>
          <w:p>
            <w:r/>
            <w:r>
              <w:rPr>
                <w:rFonts w:ascii="Calibri" w:hAnsi="Calibri"/>
                <w:sz w:val="18"/>
              </w:rPr>
              <w:t>69.2 %</w:t>
            </w:r>
          </w:p>
        </w:tc>
        <w:tc>
          <w:tcPr>
            <w:tcW w:type="dxa" w:w="2266"/>
          </w:tcPr>
          <w:p>
            <w:r/>
            <w:r>
              <w:rPr>
                <w:rFonts w:ascii="Calibri" w:hAnsi="Calibri"/>
                <w:sz w:val="18"/>
              </w:rPr>
              <w:t>×3.8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4" w:space="1" w:color="D1D5DB"/>
        </w:pBdr>
      </w:pPr>
    </w:p>
    <w:p>
      <w:pPr>
        <w:spacing w:before="160" w:after="80"/>
      </w:pPr>
      <w:r>
        <w:rPr>
          <w:rFonts w:ascii="Calibri" w:hAnsi="Calibri"/>
          <w:b/>
          <w:color w:val="111827"/>
          <w:sz w:val="22"/>
        </w:rPr>
        <w:t>3.2 Géolocalisation BAN</w:t>
      </w:r>
    </w:p>
    <w:p>
      <w:pPr>
        <w:spacing w:after="80"/>
      </w:pPr>
      <w:r>
        <w:rPr>
          <w:rFonts w:ascii="Calibri" w:hAnsi="Calibri"/>
          <w:sz w:val="20"/>
        </w:rPr>
        <w:t xml:space="preserve">Le prototype ignorait l'adresse (unused feature). V1.2 intègre la </w:t>
      </w:r>
      <w:r>
        <w:rPr>
          <w:rFonts w:ascii="Calibri" w:hAnsi="Calibri"/>
          <w:b/>
          <w:sz w:val="20"/>
        </w:rPr>
        <w:t>Base Adresse Nationale</w:t>
      </w:r>
      <w:r>
        <w:rPr>
          <w:rFonts w:ascii="Calibri" w:hAnsi="Calibri"/>
          <w:sz w:val="20"/>
        </w:rPr>
        <w:t xml:space="preserve"> (api-adresse.data.gouv.fr) 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Géocodage de l'adresse → latitude, longitude, code commune INSEE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Ces coordonnées sont injectées comme features dans LightGBM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Meilleure précision que la commune seule : le modèle distingue un appartement rue de Rivoli d'un appartement rue de Turbigo dans le même arrondissement</w:t>
      </w:r>
    </w:p>
    <w:p>
      <w:pPr>
        <w:spacing w:after="80"/>
      </w:pPr>
      <w:r>
        <w:rPr>
          <w:rFonts w:ascii="Calibri" w:hAnsi="Calibri"/>
          <w:b/>
          <w:sz w:val="20"/>
        </w:rPr>
        <w:t>Logique de fallback :</w:t>
      </w:r>
    </w:p>
    <w:p>
      <w:pPr>
        <w:spacing w:before="80" w:after="160"/>
        <w:shd w:val="clear" w:color="auto" w:fill="F1F5F9"/>
        <w:pBdr>
          <w:left w:val="single" w:sz="12" w:space="6" w:color="1A56DB"/>
        </w:pBdr>
        <w:ind w:left="283"/>
      </w:pPr>
      <w:r>
        <w:rPr>
          <w:rFonts w:ascii="Courier New" w:hAnsi="Courier New"/>
          <w:color w:val="1E293B"/>
          <w:sz w:val="16"/>
        </w:rPr>
        <w:t>Adresse fournie → BAN → coordonnées → LightGBM (ML)</w:t>
        <w:br/>
        <w:t>Commune uniquement              → DVF médiane (statistique)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160" w:after="80"/>
      </w:pPr>
      <w:r>
        <w:rPr>
          <w:rFonts w:ascii="Calibri" w:hAnsi="Calibri"/>
          <w:b/>
          <w:color w:val="111827"/>
          <w:sz w:val="22"/>
        </w:rPr>
        <w:t>3.3 Pipeline de données étendu</w:t>
      </w:r>
    </w:p>
    <w:p>
      <w:pPr>
        <w:spacing w:after="80"/>
      </w:pPr>
      <w:r>
        <w:rPr>
          <w:rFonts w:ascii="Calibri" w:hAnsi="Calibri"/>
          <w:sz w:val="20"/>
        </w:rPr>
        <w:t xml:space="preserve">Le prototype travaillait sur </w:t>
      </w:r>
      <w:r>
        <w:rPr>
          <w:rFonts w:ascii="Courier New" w:hAnsi="Courier New"/>
          <w:color w:val="BE185D"/>
          <w:sz w:val="18"/>
        </w:rPr>
        <w:t>DVF_clean_2023_2024.csv</w:t>
      </w:r>
      <w:r>
        <w:rPr>
          <w:rFonts w:ascii="Calibri" w:hAnsi="Calibri"/>
          <w:sz w:val="20"/>
        </w:rPr>
        <w:t xml:space="preserve"> (257 354 lignes, 2 années).</w:t>
      </w:r>
    </w:p>
    <w:p>
      <w:pPr>
        <w:spacing w:after="80"/>
      </w:pPr>
      <w:r>
        <w:rPr>
          <w:rFonts w:ascii="Calibri" w:hAnsi="Calibri"/>
          <w:sz w:val="20"/>
        </w:rPr>
        <w:t xml:space="preserve">V1.2 utilise un </w:t>
      </w:r>
      <w:r>
        <w:rPr>
          <w:rFonts w:ascii="Calibri" w:hAnsi="Calibri"/>
          <w:b/>
          <w:sz w:val="20"/>
        </w:rPr>
        <w:t>gold parquet partitionné</w:t>
      </w:r>
      <w:r>
        <w:rPr>
          <w:rFonts w:ascii="Calibri" w:hAnsi="Calibri"/>
          <w:sz w:val="20"/>
        </w:rPr>
        <w:t xml:space="preserve"> 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Sources : DVF 2021, 2022, 2023, 2024, 2025-S1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Coordonnées géographiques ajoutées par jointure sur le référentiel BAN communes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Nettoyage renforcé : contrôles qualité automatisés, 430 lignes avec nb_pieces aberrant retirées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709 669 transactions finales</w:t>
      </w:r>
      <w:r>
        <w:rPr>
          <w:rFonts w:ascii="Calibri" w:hAnsi="Calibri"/>
          <w:sz w:val="20"/>
        </w:rPr>
        <w:t xml:space="preserve"> — ×2.8 vs prototype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Format Parquet (lecture ×5 plus rapide que CSV sur ce volume)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160" w:after="80"/>
      </w:pPr>
      <w:r>
        <w:rPr>
          <w:rFonts w:ascii="Calibri" w:hAnsi="Calibri"/>
          <w:b/>
          <w:color w:val="111827"/>
          <w:sz w:val="22"/>
        </w:rPr>
        <w:t>3.4 Interface — 3 onglets</w:t>
      </w:r>
    </w:p>
    <w:p>
      <w:pPr>
        <w:spacing w:after="80"/>
      </w:pPr>
      <w:r>
        <w:rPr>
          <w:rFonts w:ascii="Calibri" w:hAnsi="Calibri"/>
          <w:sz w:val="20"/>
        </w:rPr>
        <w:t>Le prototype avait une interface mono-page. V1.2 ajoute deux modules d'analyse :</w:t>
      </w:r>
    </w:p>
    <w:p>
      <w:pPr>
        <w:spacing w:after="80"/>
      </w:pPr>
      <w:r>
        <w:rPr>
          <w:rFonts w:ascii="Calibri" w:hAnsi="Calibri"/>
          <w:b/>
          <w:sz w:val="20"/>
        </w:rPr>
        <w:t>Onglet 1 : Estimation</w:t>
      </w:r>
      <w:r>
        <w:rPr>
          <w:rFonts w:ascii="Calibri" w:hAnsi="Calibri"/>
          <w:sz w:val="20"/>
        </w:rPr>
        <w:t xml:space="preserve"> (existant, amélioré)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Appartement sélectionné par défaut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Indication dynamique BAN active / commune requise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Panneau de confiance dans le résultat : méthode, MAPE du modèle, scope, n_transactions, dispersion</w:t>
      </w:r>
    </w:p>
    <w:p>
      <w:pPr>
        <w:spacing w:after="80"/>
      </w:pPr>
      <w:r>
        <w:rPr>
          <w:rFonts w:ascii="Calibri" w:hAnsi="Calibri"/>
          <w:b/>
          <w:sz w:val="20"/>
        </w:rPr>
        <w:t>Onglet 2 : Carte des prix par commune</w:t>
      </w:r>
      <w:r>
        <w:rPr>
          <w:rFonts w:ascii="Calibri" w:hAnsi="Calibri"/>
          <w:sz w:val="20"/>
        </w:rPr>
        <w:t xml:space="preserve"> (nouveau)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Leaflet 1.9.4 (CDN)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1 193 communes d'Île-de-France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Cercles colorés par fourchette prix/m² (6 tranches de vert → rouge)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Popup : nom commune, n transactions, médian, Q1–Q3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Filtres par département (75 → 95)</w:t>
      </w:r>
    </w:p>
    <w:p>
      <w:pPr>
        <w:spacing w:after="80"/>
      </w:pPr>
      <w:r>
        <w:rPr>
          <w:rFonts w:ascii="Calibri" w:hAnsi="Calibri"/>
          <w:b/>
          <w:sz w:val="20"/>
        </w:rPr>
        <w:t>Onglet 3 : Référence du marché</w:t>
      </w:r>
      <w:r>
        <w:rPr>
          <w:rFonts w:ascii="Calibri" w:hAnsi="Calibri"/>
          <w:sz w:val="20"/>
        </w:rPr>
        <w:t xml:space="preserve"> (nouveau)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Sparklines SVG (sans librairie externe)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Évolution mensuelle prix/m² 2021–2025 par département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Sélecteur multi-département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Cartes de prix avec variation annuelle (Δ YoY)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160" w:after="80"/>
      </w:pPr>
      <w:r>
        <w:rPr>
          <w:rFonts w:ascii="Calibri" w:hAnsi="Calibri"/>
          <w:b/>
          <w:color w:val="111827"/>
          <w:sz w:val="22"/>
        </w:rPr>
        <w:t>3.5 Validation des entrées</w:t>
      </w:r>
    </w:p>
    <w:p>
      <w:pPr>
        <w:spacing w:after="80"/>
      </w:pPr>
      <w:r>
        <w:rPr>
          <w:rFonts w:ascii="Calibri" w:hAnsi="Calibri"/>
          <w:sz w:val="20"/>
        </w:rPr>
        <w:t>Le prototype acceptait des requêtes sans vérification de cohérence. V1.2 ajoute :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Champs requis</w:t>
      </w:r>
      <w:r>
        <w:rPr>
          <w:rFonts w:ascii="Calibri" w:hAnsi="Calibri"/>
          <w:sz w:val="20"/>
        </w:rPr>
        <w:t xml:space="preserve"> alignés sur les features modèle : surface, pièces, type, commune (ou adresse)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Ratio surface/pièces</w:t>
      </w:r>
      <w:r>
        <w:rPr>
          <w:rFonts w:ascii="Calibri" w:hAnsi="Calibri"/>
          <w:sz w:val="20"/>
        </w:rPr>
        <w:t xml:space="preserve"> : rejet si &lt; 5 m²/pièce ou &gt; 200 m²/pièce avec message lisible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Maisons</w:t>
      </w:r>
      <w:r>
        <w:rPr>
          <w:rFonts w:ascii="Calibri" w:hAnsi="Calibri"/>
          <w:sz w:val="20"/>
        </w:rPr>
        <w:t xml:space="preserve"> : flag </w:t>
      </w:r>
      <w:r>
        <w:rPr>
          <w:rFonts w:ascii="Courier New" w:hAnsi="Courier New"/>
          <w:sz w:val="18"/>
        </w:rPr>
        <w:t>a_terrain=True</w:t>
      </w:r>
      <w:r>
        <w:rPr>
          <w:rFonts w:ascii="Calibri" w:hAnsi="Calibri"/>
          <w:sz w:val="20"/>
        </w:rPr>
        <w:t xml:space="preserve"> automatique pour LightGBM (corrige surestimation)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Petites surfaces</w:t>
      </w:r>
      <w:r>
        <w:rPr>
          <w:rFonts w:ascii="Calibri" w:hAnsi="Calibri"/>
          <w:sz w:val="20"/>
        </w:rPr>
        <w:t xml:space="preserve"> (&lt; 30 m²) : fourchette élargie à ±20 %, fiabilité plafonnée à 0.65, note explicative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160" w:after="80"/>
      </w:pPr>
      <w:r>
        <w:rPr>
          <w:rFonts w:ascii="Calibri" w:hAnsi="Calibri"/>
          <w:b/>
          <w:color w:val="111827"/>
          <w:sz w:val="22"/>
        </w:rPr>
        <w:t>3.6 Intégration Docker complète</w:t>
      </w:r>
    </w:p>
    <w:p>
      <w:pPr>
        <w:spacing w:after="80"/>
      </w:pPr>
      <w:r>
        <w:rPr>
          <w:rFonts w:ascii="Calibri" w:hAnsi="Calibri"/>
          <w:sz w:val="20"/>
        </w:rPr>
        <w:t>Le prototype livrait Docker mais le modèle ML ne fonctionnait pas à l'intérieur (3 mois après, image obsolète).</w:t>
      </w:r>
    </w:p>
    <w:p>
      <w:pPr>
        <w:spacing w:after="80"/>
      </w:pPr>
      <w:r>
        <w:rPr>
          <w:rFonts w:ascii="Calibri" w:hAnsi="Calibri"/>
          <w:sz w:val="20"/>
        </w:rPr>
        <w:t>V1.2 corrige 4 problèmes d'intégration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BEAFE"/>
          </w:tcPr>
          <w:p>
            <w:r/>
            <w:r>
              <w:rPr>
                <w:rFonts w:ascii="Calibri" w:hAnsi="Calibri"/>
                <w:b/>
                <w:color w:val="1E3A8A"/>
                <w:sz w:val="18"/>
              </w:rPr>
              <w:t>Problème</w:t>
            </w:r>
          </w:p>
        </w:tc>
        <w:tc>
          <w:tcPr>
            <w:tcW w:type="dxa" w:w="4533"/>
            <w:shd w:val="clear" w:color="auto" w:fill="DBEAFE"/>
          </w:tcPr>
          <w:p>
            <w:r/>
            <w:r>
              <w:rPr>
                <w:rFonts w:ascii="Calibri" w:hAnsi="Calibri"/>
                <w:b/>
                <w:color w:val="1E3A8A"/>
                <w:sz w:val="18"/>
              </w:rPr>
              <w:t>Fix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alibri" w:hAnsi="Calibri"/>
                <w:b/>
                <w:sz w:val="18"/>
              </w:rPr>
              <w:t>`libgomp.so.1` manquant (LightGBM → OpenMP)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sz w:val="18"/>
              </w:rPr>
              <w:t>`apt-get install libgomp1` dans Dockerfile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alibri" w:hAnsi="Calibri"/>
                <w:b/>
                <w:sz w:val="18"/>
              </w:rPr>
              <w:t>`requirements.txt` introuvable dans le build context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sz w:val="18"/>
              </w:rPr>
              <w:t>Chemin corrigé vers racine du projet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alibri" w:hAnsi="Calibri"/>
                <w:b/>
                <w:sz w:val="18"/>
              </w:rPr>
              <w:t>Modèle non trouvé dans Docker (`/app/Backend/models/`)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sz w:val="18"/>
              </w:rPr>
              <w:t>`_trouver_modele()` — 3 chemins candidats dans l'ordre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alibri" w:hAnsi="Calibri"/>
                <w:b/>
                <w:sz w:val="18"/>
              </w:rPr>
              <w:t>`ModuleNotFoundError: geocoding`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sz w:val="18"/>
              </w:rPr>
              <w:t>`sys.path` enrichi avec `ml/` et son parent au démarrage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4" w:space="1" w:color="D1D5DB"/>
        </w:pBdr>
      </w:pPr>
    </w:p>
    <w:p>
      <w:pPr>
        <w:spacing w:before="160" w:after="80"/>
      </w:pPr>
      <w:r>
        <w:rPr>
          <w:rFonts w:ascii="Calibri" w:hAnsi="Calibri"/>
          <w:b/>
          <w:color w:val="111827"/>
          <w:sz w:val="22"/>
        </w:rPr>
        <w:t>4. PISTES D'AMÉLIORATION DU PROTOTYPE — SUIVI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BEAFE"/>
          </w:tcPr>
          <w:p>
            <w:r/>
            <w:r>
              <w:rPr>
                <w:rFonts w:ascii="Calibri" w:hAnsi="Calibri"/>
                <w:b/>
                <w:color w:val="1E3A8A"/>
                <w:sz w:val="18"/>
              </w:rPr>
              <w:t>Piste identifiée en mars 2026</w:t>
            </w:r>
          </w:p>
        </w:tc>
        <w:tc>
          <w:tcPr>
            <w:tcW w:type="dxa" w:w="4533"/>
            <w:shd w:val="clear" w:color="auto" w:fill="DBEAFE"/>
          </w:tcPr>
          <w:p>
            <w:r/>
            <w:r>
              <w:rPr>
                <w:rFonts w:ascii="Calibri" w:hAnsi="Calibri"/>
                <w:b/>
                <w:color w:val="1E3A8A"/>
                <w:sz w:val="18"/>
              </w:rPr>
              <w:t>Statut v1.2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alibri" w:hAnsi="Calibri"/>
                <w:b/>
                <w:sz w:val="18"/>
              </w:rPr>
              <w:t>Filtrage outliers IQR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color w:val="057A55"/>
                <w:sz w:val="18"/>
              </w:rPr>
              <w:t>✅ Implémenté (pipeline gold)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alibri" w:hAnsi="Calibri"/>
                <w:b/>
                <w:sz w:val="18"/>
              </w:rPr>
              <w:t>Modèle LightGBM / XGBoost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color w:val="057A55"/>
                <w:sz w:val="18"/>
              </w:rPr>
              <w:t>✅ LightGBM, MAPE 19.2 %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alibri" w:hAnsi="Calibri"/>
                <w:b/>
                <w:sz w:val="18"/>
              </w:rPr>
              <w:t>Enrichissement features (coordonnées, dept, temporel)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color w:val="057A55"/>
                <w:sz w:val="18"/>
              </w:rPr>
              <w:t>✅ 12 features dont lat/lon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alibri" w:hAnsi="Calibri"/>
                <w:b/>
                <w:sz w:val="18"/>
              </w:rPr>
              <w:t>Carte interactive Leaflet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color w:val="057A55"/>
                <w:sz w:val="18"/>
              </w:rPr>
              <w:t>✅ 1 193 communes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alibri" w:hAnsi="Calibri"/>
                <w:b/>
                <w:sz w:val="18"/>
              </w:rPr>
              <w:t>Granularité géographique fine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color w:val="057A55"/>
                <w:sz w:val="18"/>
              </w:rPr>
              <w:t>✅ Adresse → BAN → lat/lon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alibri" w:hAnsi="Calibri"/>
                <w:b/>
                <w:sz w:val="18"/>
              </w:rPr>
              <w:t>Déploiement cloud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color w:val="6B7280"/>
                <w:sz w:val="18"/>
              </w:rPr>
              <w:t>⬜ Non implémenté (Render / HuggingFace envisagés)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alibri" w:hAnsi="Calibri"/>
                <w:b/>
                <w:sz w:val="18"/>
              </w:rPr>
              <w:t>Base de données PostgreSQL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color w:val="6B7280"/>
                <w:sz w:val="18"/>
              </w:rPr>
              <w:t>⬜ Hors scope v1.2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alibri" w:hAnsi="Calibri"/>
                <w:b/>
                <w:sz w:val="18"/>
              </w:rPr>
              <w:t>Tests automatisés complets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color w:val="6B7280"/>
                <w:sz w:val="18"/>
              </w:rPr>
              <w:t>⬜ Partiels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alibri" w:hAnsi="Calibri"/>
                <w:b/>
                <w:sz w:val="18"/>
              </w:rPr>
              <w:t>CI/CD GitHub Actions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color w:val="6B7280"/>
                <w:sz w:val="18"/>
              </w:rPr>
              <w:t>⬜ Non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alibri" w:hAnsi="Calibri"/>
                <w:b/>
                <w:sz w:val="18"/>
              </w:rPr>
              <w:t>DPE / état du bien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color w:val="6B7280"/>
                <w:sz w:val="18"/>
              </w:rPr>
              <w:t>⬜ Identifié, différé v1.3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4" w:space="1" w:color="D1D5DB"/>
        </w:pBdr>
      </w:pPr>
    </w:p>
    <w:p>
      <w:pPr>
        <w:spacing w:before="240" w:after="80"/>
      </w:pPr>
      <w:r>
        <w:rPr>
          <w:rFonts w:ascii="Calibri" w:hAnsi="Calibri"/>
          <w:b/>
          <w:color w:val="1A56DB"/>
          <w:sz w:val="26"/>
        </w:rPr>
        <w:t>5. ARCHITECTURE v1.2</w:t>
      </w:r>
    </w:p>
    <w:p>
      <w:pPr>
        <w:spacing w:before="80" w:after="160"/>
        <w:shd w:val="clear" w:color="auto" w:fill="F1F5F9"/>
        <w:pBdr>
          <w:left w:val="single" w:sz="12" w:space="6" w:color="1A56DB"/>
        </w:pBdr>
        <w:ind w:left="283"/>
      </w:pPr>
      <w:r>
        <w:rPr>
          <w:rFonts w:ascii="Courier New" w:hAnsi="Courier New"/>
          <w:color w:val="1E293B"/>
          <w:sz w:val="16"/>
        </w:rPr>
        <w:t>UTILISATEUR (Browser) — http://localhost:8501</w:t>
        <w:br/>
        <w:t xml:space="preserve">        │</w:t>
        <w:br/>
        <w:t xml:space="preserve">        ▼  HTTP</w:t>
        <w:br/>
        <w:t>FRONTEND — React 18 + Vite + Tailwind CSS (Nginx, port 8501)</w:t>
        <w:br/>
        <w:t xml:space="preserve">  ├── App.jsx              (3 onglets : Estimation · Carte · Marché)</w:t>
        <w:br/>
        <w:t xml:space="preserve">  ├── EstimationForm.jsx   (validation native HTML + Pydantic côté API)</w:t>
        <w:br/>
        <w:t xml:space="preserve">  ├── ResultPanel.jsx      (confiance modèle : MAPE, scope, dispersion)</w:t>
        <w:br/>
        <w:t xml:space="preserve">  ├── PriceMap.jsx         (Leaflet, 1 193 communes)</w:t>
        <w:br/>
        <w:t xml:space="preserve">  └── MarketTrends.jsx     (sparklines SVG, 2021–2025)</w:t>
        <w:br/>
        <w:t xml:space="preserve">        │</w:t>
        <w:br/>
        <w:t xml:space="preserve">        ▼  JSON REST (CORS port 8501 autorisé)</w:t>
        <w:br/>
        <w:t>BACKEND — FastAPI Python 3.11 (Uvicorn, port 8000)</w:t>
        <w:br/>
        <w:t xml:space="preserve">  ├── GET  /api/health                → statut + model_loaded</w:t>
        <w:br/>
        <w:t xml:space="preserve">  ├── GET  /api/metadata/communes     → liste communes DVF</w:t>
        <w:br/>
        <w:t xml:space="preserve">  ├── POST /api/predictions/estimate  → estimation prix</w:t>
        <w:br/>
        <w:t xml:space="preserve">  ├── GET  /api/market/map            → 1 193 communes stats</w:t>
        <w:br/>
        <w:t xml:space="preserve">  └── GET  /api/market/trends         → 480 points mensuels</w:t>
        <w:br/>
        <w:t xml:space="preserve">        │</w:t>
        <w:br/>
        <w:t xml:space="preserve">        ├──► ml/estimator.py → BAN geocoding → LightGBM predict</w:t>
        <w:br/>
        <w:t xml:space="preserve">        │         └── Backend/models/price_model.pkl (709 k transactions)</w:t>
        <w:br/>
        <w:t xml:space="preserve">        └──► DVF gold parquet (fallback statistique)</w:t>
        <w:br/>
        <w:br/>
        <w:t>Infrastructure : Docker Compose (2 services)</w:t>
        <w:br/>
        <w:t xml:space="preserve">  ├── realestate_backend   (python:3.11-slim + libgomp1)</w:t>
        <w:br/>
        <w:t xml:space="preserve">  └── realestate_frontend  (node:20-alpine → nginx:alpine)</w:t>
        <w:br/>
        <w:br/>
        <w:t>Data samples (dans l'image) :</w:t>
        <w:br/>
        <w:t xml:space="preserve">  ├── data/samples/commune_stats.json    (1 193 communes, 221 KB)</w:t>
        <w:br/>
        <w:t xml:space="preserve">  └── data/samples/market_trends.json   (480 points mensuels, 59 KB)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40" w:after="80"/>
      </w:pPr>
      <w:r>
        <w:rPr>
          <w:rFonts w:ascii="Calibri" w:hAnsi="Calibri"/>
          <w:b/>
          <w:color w:val="1A56DB"/>
          <w:sz w:val="26"/>
        </w:rPr>
        <w:t>6. MÉTRIQUES DE PERFORMANCE MODÈLE (DÉTAIL)</w:t>
      </w:r>
    </w:p>
    <w:p>
      <w:pPr>
        <w:spacing w:after="80"/>
      </w:pPr>
      <w:r>
        <w:rPr>
          <w:rFonts w:ascii="Calibri" w:hAnsi="Calibri"/>
          <w:b/>
          <w:sz w:val="20"/>
        </w:rPr>
        <w:t>Split :</w:t>
      </w:r>
      <w:r>
        <w:rPr>
          <w:rFonts w:ascii="Calibri" w:hAnsi="Calibri"/>
          <w:sz w:val="20"/>
        </w:rPr>
        <w:t xml:space="preserve"> entraînement 2021–2024 (579 515 trans.) | test 2025 (130 154 trans.)</w:t>
      </w:r>
    </w:p>
    <w:p>
      <w:pPr>
        <w:spacing w:after="80"/>
      </w:pPr>
      <w:r>
        <w:rPr>
          <w:rFonts w:ascii="Calibri" w:hAnsi="Calibri"/>
          <w:b/>
          <w:sz w:val="20"/>
        </w:rPr>
        <w:t>Cible :</w:t>
      </w:r>
      <w:r>
        <w:rPr>
          <w:rFonts w:ascii="Calibri" w:hAnsi="Calibri"/>
          <w:sz w:val="20"/>
        </w:rPr>
        <w:t xml:space="preserve"> prix_m2 (régression)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BEAFE"/>
          </w:tcPr>
          <w:p>
            <w:r/>
            <w:r>
              <w:rPr>
                <w:rFonts w:ascii="Calibri" w:hAnsi="Calibri"/>
                <w:b/>
                <w:color w:val="1E3A8A"/>
                <w:sz w:val="18"/>
              </w:rPr>
              <w:t>Métrique</w:t>
            </w:r>
          </w:p>
        </w:tc>
        <w:tc>
          <w:tcPr>
            <w:tcW w:type="dxa" w:w="4533"/>
            <w:shd w:val="clear" w:color="auto" w:fill="DBEAFE"/>
          </w:tcPr>
          <w:p>
            <w:r/>
            <w:r>
              <w:rPr>
                <w:rFonts w:ascii="Calibri" w:hAnsi="Calibri"/>
                <w:b/>
                <w:color w:val="1E3A8A"/>
                <w:sz w:val="18"/>
              </w:rPr>
              <w:t>Valeur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alibri" w:hAnsi="Calibri"/>
                <w:b/>
                <w:sz w:val="18"/>
              </w:rPr>
              <w:t>MAPE prix/m²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sz w:val="18"/>
              </w:rPr>
              <w:t>19.2 %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alibri" w:hAnsi="Calibri"/>
                <w:b/>
                <w:sz w:val="18"/>
              </w:rPr>
              <w:t>MAPE prix total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sz w:val="18"/>
              </w:rPr>
              <w:t>19.2 %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alibri" w:hAnsi="Calibri"/>
                <w:b/>
                <w:sz w:val="18"/>
              </w:rPr>
              <w:t>MAE prix/m²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sz w:val="18"/>
              </w:rPr>
              <w:t>999 €/m²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alibri" w:hAnsi="Calibri"/>
                <w:b/>
                <w:sz w:val="18"/>
              </w:rPr>
              <w:t>MAE prix total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sz w:val="18"/>
              </w:rPr>
              <w:t>66 634 €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alibri" w:hAnsi="Calibri"/>
                <w:b/>
                <w:sz w:val="18"/>
              </w:rPr>
              <w:t>R²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sz w:val="18"/>
              </w:rPr>
              <w:t>0.778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alibri" w:hAnsi="Calibri"/>
                <w:b/>
                <w:sz w:val="18"/>
              </w:rPr>
              <w:t>Prédictions dans ±10 %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sz w:val="18"/>
              </w:rPr>
              <w:t>40.5 %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alibri" w:hAnsi="Calibri"/>
                <w:b/>
                <w:sz w:val="18"/>
              </w:rPr>
              <w:t>Prédictions dans ±20 %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sz w:val="18"/>
              </w:rPr>
              <w:t>69.2 %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b/>
          <w:sz w:val="20"/>
        </w:rPr>
        <w:t>Top features (importance LightGBM) :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`prix_m2_reference_12m` — référence marché locale sur 12 mois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`latitude` / `longitude` — signal géographique fin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`surface_bati` — surface habitable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`code_departement` — effet département (75 vs 77 notamment)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`nb_ventes_commune_12m` — liquidité du marché local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40" w:after="80"/>
      </w:pPr>
      <w:r>
        <w:rPr>
          <w:rFonts w:ascii="Calibri" w:hAnsi="Calibri"/>
          <w:b/>
          <w:color w:val="1A56DB"/>
          <w:sz w:val="26"/>
        </w:rPr>
        <w:t>7. LIMITES ACTUELLES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DBEAFE"/>
          </w:tcPr>
          <w:p>
            <w:r/>
            <w:r>
              <w:rPr>
                <w:rFonts w:ascii="Calibri" w:hAnsi="Calibri"/>
                <w:b/>
                <w:color w:val="1E3A8A"/>
                <w:sz w:val="18"/>
              </w:rPr>
              <w:t>Limite</w:t>
            </w:r>
          </w:p>
        </w:tc>
        <w:tc>
          <w:tcPr>
            <w:tcW w:type="dxa" w:w="3022"/>
            <w:shd w:val="clear" w:color="auto" w:fill="DBEAFE"/>
          </w:tcPr>
          <w:p>
            <w:r/>
            <w:r>
              <w:rPr>
                <w:rFonts w:ascii="Calibri" w:hAnsi="Calibri"/>
                <w:b/>
                <w:color w:val="1E3A8A"/>
                <w:sz w:val="18"/>
              </w:rPr>
              <w:t>Impact</w:t>
            </w:r>
          </w:p>
        </w:tc>
        <w:tc>
          <w:tcPr>
            <w:tcW w:type="dxa" w:w="3022"/>
            <w:shd w:val="clear" w:color="auto" w:fill="DBEAFE"/>
          </w:tcPr>
          <w:p>
            <w:r/>
            <w:r>
              <w:rPr>
                <w:rFonts w:ascii="Calibri" w:hAnsi="Calibri"/>
                <w:b/>
                <w:color w:val="1E3A8A"/>
                <w:sz w:val="18"/>
              </w:rPr>
              <w:t>Priorité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alibri" w:hAnsi="Calibri"/>
                <w:b/>
                <w:sz w:val="18"/>
              </w:rPr>
              <w:t>MAPE 19 % encore élevé pour Paris intra-muros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Écart ±66 k€ en médiane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Haute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alibri" w:hAnsi="Calibri"/>
                <w:b/>
                <w:sz w:val="18"/>
              </w:rPr>
              <w:t>Petites surfaces (&lt; 30 m²) sous-représentées dans DVF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Fourchette élargie, moins précis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Haute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alibri" w:hAnsi="Calibri"/>
                <w:b/>
                <w:sz w:val="18"/>
              </w:rPr>
              <w:t>Maisons rares dans certains départements (&lt; 50 transactions)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Modèle peu fiable type "house" zones peu denses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Moyenne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alibri" w:hAnsi="Calibri"/>
                <w:b/>
                <w:sz w:val="18"/>
              </w:rPr>
              <w:t>Pas de filtre géographique sur l'entrée (biens hors IDF acceptés)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Résultat incohérent si commune hors IDF saisie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Moyenne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alibri" w:hAnsi="Calibri"/>
                <w:b/>
                <w:sz w:val="18"/>
              </w:rPr>
              <w:t>Données 2025 limitées à S1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Légère sous-représentation des prix 2025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Basse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alibri" w:hAnsi="Calibri"/>
                <w:b/>
                <w:sz w:val="18"/>
              </w:rPr>
              <w:t>Déploiement cloud absent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Demo uniquement en local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color w:val="057A55"/>
                <w:sz w:val="18"/>
              </w:rPr>
              <w:t>✅ Résolu en v1.2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4" w:space="1" w:color="D1D5DB"/>
        </w:pBdr>
      </w:pPr>
    </w:p>
    <w:p>
      <w:pPr>
        <w:spacing w:before="240" w:after="80"/>
      </w:pPr>
      <w:r>
        <w:rPr>
          <w:rFonts w:ascii="Calibri" w:hAnsi="Calibri"/>
          <w:b/>
          <w:color w:val="1A56DB"/>
          <w:sz w:val="26"/>
        </w:rPr>
        <w:t>8. DÉPLOIEMENT EN PRODUCTION</w:t>
      </w:r>
    </w:p>
    <w:p>
      <w:pPr>
        <w:spacing w:after="80"/>
      </w:pPr>
      <w:r>
        <w:rPr>
          <w:rFonts w:ascii="Calibri" w:hAnsi="Calibri"/>
          <w:sz w:val="20"/>
        </w:rPr>
        <w:t xml:space="preserve">L'application est déployée gratuitement sur </w:t>
      </w:r>
      <w:r>
        <w:rPr>
          <w:rFonts w:ascii="Calibri" w:hAnsi="Calibri"/>
          <w:b/>
          <w:sz w:val="20"/>
        </w:rPr>
        <w:t>Render.com</w:t>
      </w:r>
      <w:r>
        <w:rPr>
          <w:rFonts w:ascii="Calibri" w:hAnsi="Calibri"/>
          <w:sz w:val="20"/>
        </w:rPr>
        <w:t xml:space="preserve"> depuis le 7 septembre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DBEAFE"/>
          </w:tcPr>
          <w:p>
            <w:r/>
            <w:r>
              <w:rPr>
                <w:rFonts w:ascii="Calibri" w:hAnsi="Calibri"/>
                <w:b/>
                <w:color w:val="1E3A8A"/>
                <w:sz w:val="18"/>
              </w:rPr>
              <w:t>Composant</w:t>
            </w:r>
          </w:p>
        </w:tc>
        <w:tc>
          <w:tcPr>
            <w:tcW w:type="dxa" w:w="3022"/>
            <w:shd w:val="clear" w:color="auto" w:fill="DBEAFE"/>
          </w:tcPr>
          <w:p>
            <w:r/>
            <w:r>
              <w:rPr>
                <w:rFonts w:ascii="Calibri" w:hAnsi="Calibri"/>
                <w:b/>
                <w:color w:val="1E3A8A"/>
                <w:sz w:val="18"/>
              </w:rPr>
              <w:t>URL</w:t>
            </w:r>
          </w:p>
        </w:tc>
        <w:tc>
          <w:tcPr>
            <w:tcW w:type="dxa" w:w="3022"/>
            <w:shd w:val="clear" w:color="auto" w:fill="DBEAFE"/>
          </w:tcPr>
          <w:p>
            <w:r/>
            <w:r>
              <w:rPr>
                <w:rFonts w:ascii="Calibri" w:hAnsi="Calibri"/>
                <w:b/>
                <w:color w:val="1E3A8A"/>
                <w:sz w:val="18"/>
              </w:rPr>
              <w:t>Technologie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alibri" w:hAnsi="Calibri"/>
                <w:b/>
                <w:sz w:val="18"/>
              </w:rPr>
              <w:t>Frontend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https://realestateai-frontend.onrender.com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Static Site (React build)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alibri" w:hAnsi="Calibri"/>
                <w:b/>
                <w:sz w:val="18"/>
              </w:rPr>
              <w:t>Backend API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https://realestateai-backend.onrender.com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Docker Image (LightGBM)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alibri" w:hAnsi="Calibri"/>
                <w:b/>
                <w:sz w:val="18"/>
              </w:rPr>
              <w:t>Swagger docs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https://realestateai-backend.onrender.com/docs</w:t>
            </w:r>
          </w:p>
        </w:tc>
        <w:tc>
          <w:tcPr>
            <w:tcW w:type="dxa" w:w="3022"/>
          </w:tcPr>
          <w:p>
            <w:r/>
            <w:r>
              <w:rPr>
                <w:rFonts w:ascii="Calibri" w:hAnsi="Calibri"/>
                <w:sz w:val="18"/>
              </w:rPr>
              <w:t>FastAPI auto-generated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b/>
          <w:sz w:val="20"/>
        </w:rPr>
        <w:t>Architecture de déploiement :</w:t>
      </w:r>
    </w:p>
    <w:p>
      <w:pPr>
        <w:spacing w:before="80" w:after="160"/>
        <w:shd w:val="clear" w:color="auto" w:fill="F1F5F9"/>
        <w:pBdr>
          <w:left w:val="single" w:sz="12" w:space="6" w:color="1A56DB"/>
        </w:pBdr>
        <w:ind w:left="283"/>
      </w:pPr>
      <w:r>
        <w:rPr>
          <w:rFonts w:ascii="Courier New" w:hAnsi="Courier New"/>
          <w:color w:val="1E293B"/>
          <w:sz w:val="16"/>
        </w:rPr>
        <w:t>GitHub (khadija10/RealStateAI)</w:t>
        <w:br/>
        <w:t xml:space="preserve">    │</w:t>
        <w:br/>
        <w:t xml:space="preserve">    ├──► Render Static Site ──► https://realestateai-frontend.onrender.com</w:t>
        <w:br/>
        <w:t xml:space="preserve">    │    (npm ci &amp;&amp; npm run build → dist/)</w:t>
        <w:br/>
        <w:t xml:space="preserve">    │</w:t>
        <w:br/>
        <w:t xml:space="preserve">    └──► Docker Hub (khdj0/realestateai-backend:v1.2)</w:t>
        <w:br/>
        <w:t xml:space="preserve">             │</w:t>
        <w:br/>
        <w:t xml:space="preserve">             └──► Render Web Service ──► https://realestateai-backend.onrender.com</w:t>
        <w:br/>
        <w:t xml:space="preserve">                  (LightGBM + BAN geocoding + gold parquet bakés dans l'image)</w:t>
      </w:r>
    </w:p>
    <w:p>
      <w:pPr>
        <w:spacing w:after="80"/>
      </w:pPr>
      <w:r>
        <w:rPr>
          <w:rFonts w:ascii="Calibri" w:hAnsi="Calibri"/>
          <w:b/>
          <w:sz w:val="20"/>
        </w:rPr>
        <w:t>Optimisations réalisées pour le déploiement :</w:t>
      </w:r>
    </w:p>
    <w:p>
      <w:pPr>
        <w:pStyle w:val="ListBullet"/>
        <w:spacing w:after="40"/>
      </w:pPr>
      <w:r>
        <w:rPr>
          <w:rFonts w:ascii="Courier New" w:hAnsi="Courier New"/>
          <w:sz w:val="18"/>
        </w:rPr>
        <w:t>.dockerignore</w:t>
      </w:r>
      <w:r>
        <w:rPr>
          <w:rFonts w:ascii="Calibri" w:hAnsi="Calibri"/>
          <w:sz w:val="20"/>
        </w:rPr>
        <w:t xml:space="preserve"> : exclut les 1.9 Go de données brutes DVF — contexte Docker réduit de 2 Go → 29 Mo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Gold parquet (28 Mo) baké dans l'image Docker — aucun volume externe nécessaire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Image finale : ~400 Mo (vs 4.9 Go sans optimisation)</w:t>
      </w:r>
    </w:p>
    <w:p>
      <w:pPr>
        <w:pStyle w:val="ListBullet"/>
        <w:spacing w:after="40"/>
      </w:pPr>
      <w:r>
        <w:rPr>
          <w:rFonts w:ascii="Courier New" w:hAnsi="Courier New"/>
          <w:sz w:val="18"/>
        </w:rPr>
        <w:t>ALLOW_MOCK_FALLBACK=true</w:t>
      </w:r>
      <w:r>
        <w:rPr>
          <w:rFonts w:ascii="Calibri" w:hAnsi="Calibri"/>
          <w:sz w:val="20"/>
        </w:rPr>
        <w:t xml:space="preserve"> : le backend démarre sans le dataset DVF, le modèle ML prend le relais</w:t>
      </w:r>
    </w:p>
    <w:p>
      <w:pPr>
        <w:spacing w:after="80"/>
      </w:pPr>
      <w:r>
        <w:rPr>
          <w:rFonts w:ascii="Calibri" w:hAnsi="Calibri"/>
          <w:b/>
          <w:sz w:val="20"/>
        </w:rPr>
        <w:t>Limites du free tier Render 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Le backend s'endort après 15 min d'inactivité → premier réveil ~50 secondes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512 Mo RAM (suffisant : modèle + gold parquet ≈ 200 Mo en mémoire)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Frontend static : toujours actif, aucun délai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40" w:after="80"/>
      </w:pPr>
      <w:r>
        <w:rPr>
          <w:rFonts w:ascii="Calibri" w:hAnsi="Calibri"/>
          <w:b/>
          <w:color w:val="1A56DB"/>
          <w:sz w:val="26"/>
        </w:rPr>
        <w:t>9. ÉVOLUTIONS ENVISAGÉES (V1.3)</w:t>
      </w:r>
    </w:p>
    <w:p>
      <w:pPr>
        <w:pStyle w:val="ListNumber"/>
        <w:spacing w:after="40"/>
      </w:pPr>
      <w:r>
        <w:rPr>
          <w:rFonts w:ascii="Calibri" w:hAnsi="Calibri"/>
          <w:b/>
          <w:sz w:val="20"/>
        </w:rPr>
        <w:t>DPE (Diagnostic de Performance Énergétique)</w:t>
      </w:r>
      <w:r>
        <w:rPr>
          <w:rFonts w:ascii="Calibri" w:hAnsi="Calibri"/>
          <w:sz w:val="20"/>
        </w:rPr>
        <w:t xml:space="preserve"> : feature haute valeur, fortement corrélée au prix depuis la réforme 2021</w:t>
      </w:r>
    </w:p>
    <w:p>
      <w:pPr>
        <w:pStyle w:val="ListNumber"/>
        <w:spacing w:after="40"/>
      </w:pPr>
      <w:r>
        <w:rPr>
          <w:rFonts w:ascii="Calibri" w:hAnsi="Calibri"/>
          <w:b/>
          <w:sz w:val="20"/>
        </w:rPr>
        <w:t>Arrondissements Paris</w:t>
      </w:r>
      <w:r>
        <w:rPr>
          <w:rFonts w:ascii="Calibri" w:hAnsi="Calibri"/>
          <w:sz w:val="20"/>
        </w:rPr>
        <w:t xml:space="preserve"> : découper Paris en 20 codes INSEE distincts vs une seule commune</w:t>
      </w:r>
    </w:p>
    <w:p>
      <w:pPr>
        <w:pStyle w:val="ListNumber"/>
        <w:spacing w:after="40"/>
      </w:pPr>
      <w:r>
        <w:rPr>
          <w:rFonts w:ascii="Calibri" w:hAnsi="Calibri"/>
          <w:b/>
          <w:sz w:val="20"/>
        </w:rPr>
        <w:t>Historique d'estimations</w:t>
      </w:r>
      <w:r>
        <w:rPr>
          <w:rFonts w:ascii="Calibri" w:hAnsi="Calibri"/>
          <w:sz w:val="20"/>
        </w:rPr>
        <w:t xml:space="preserve"> : stockage localStorage ou base légère (SQLite)</w:t>
      </w:r>
    </w:p>
    <w:p>
      <w:pPr>
        <w:pStyle w:val="ListNumber"/>
        <w:spacing w:after="40"/>
      </w:pPr>
      <w:r>
        <w:rPr>
          <w:rFonts w:ascii="Calibri" w:hAnsi="Calibri"/>
          <w:b/>
          <w:sz w:val="20"/>
        </w:rPr>
        <w:t>Export PDF</w:t>
      </w:r>
      <w:r>
        <w:rPr>
          <w:rFonts w:ascii="Calibri" w:hAnsi="Calibri"/>
          <w:sz w:val="20"/>
        </w:rPr>
        <w:t xml:space="preserve"> : fiche d'estimation téléchargeable pour présentation en démo</w:t>
      </w:r>
    </w:p>
    <w:p>
      <w:pPr>
        <w:pStyle w:val="ListNumber"/>
        <w:spacing w:after="40"/>
      </w:pPr>
      <w:r>
        <w:rPr>
          <w:rFonts w:ascii="Calibri" w:hAnsi="Calibri"/>
          <w:b/>
          <w:sz w:val="20"/>
        </w:rPr>
        <w:t>CI/CD</w:t>
      </w:r>
      <w:r>
        <w:rPr>
          <w:rFonts w:ascii="Calibri" w:hAnsi="Calibri"/>
          <w:sz w:val="20"/>
        </w:rPr>
        <w:t xml:space="preserve"> : redéploiement automatique sur Render à chaque push GitHub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after="80"/>
      </w:pPr>
      <w:r>
        <w:rPr>
          <w:rFonts w:ascii="Calibri" w:hAnsi="Calibri"/>
          <w:sz w:val="20"/>
        </w:rPr>
        <w:t>*Rapport rédigé le 7 septembre 2026 — Version v1.2*</w:t>
      </w:r>
    </w:p>
    <w:p>
      <w:pPr>
        <w:spacing w:after="80"/>
      </w:pPr>
      <w:r>
        <w:rPr>
          <w:rFonts w:ascii="Calibri" w:hAnsi="Calibri"/>
          <w:sz w:val="20"/>
        </w:rPr>
        <w:t>*Dépôt : https://github.com/khadija10/RealStateAI — Branche : main*</w:t>
      </w:r>
    </w:p>
    <w:p>
      <w:pPr>
        <w:spacing w:after="80"/>
      </w:pPr>
      <w:r>
        <w:rPr>
          <w:rFonts w:ascii="Calibri" w:hAnsi="Calibri"/>
          <w:sz w:val="20"/>
        </w:rPr>
        <w:t>*Application : https://realestateai-frontend.onrender.com*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