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Rapport de Performance ExtraFinancière – [Nom de l'Entreprise]</w:t>
        <w:br/>
        <w:t>Période  1er janvier 2025 – 29 février 2025</w:t>
        <w:br/>
        <w:t>Périmètre  Usine de Casablanca</w:t>
      </w:r>
    </w:p>
    <w:p>
      <w:pPr>
        <w:pStyle w:val="Heading2"/>
      </w:pPr>
      <w:r>
        <w:t>Résumé exécutif</w:t>
      </w:r>
    </w:p>
    <w:p>
      <w:pPr/>
      <w:r>
        <w:t>Ce rapport bimensuel présente la performance extrafinancière de notre usine de Casablanca pour la période de janvier à février 2025, en s'inspirant des standards de la Global Reporting Initiative (GRI). Les résultats de cette période sont particulièrement encourageants. Nous observons une amélioration notable de notre efficacité environnementale  alors que la production a augmenté de 5,7 %, notre consommation d'énergie a diminué de 5,1 % et celle d'eau de 2,9 %. La performance la plus remarquable est la réduction de 33 % de nos déchets générés. Ces progrès témoignent de l'efficacité de nos initiatives opérationnelles. Ce rapport détaille également notre cadre de gouvernance RSE et notre contribution aux Objectifs de Développement Durable (ODD) des Nations Unies, notamment les ODD 6, 7, 8 et 12. Les recommandations formulées visent à consolider ces acquis et à structurer notre collecte de données sociales pour les prochains cycles de reporting.</w:t>
      </w:r>
    </w:p>
    <w:p>
      <w:pPr>
        <w:pStyle w:val="Heading2"/>
      </w:pPr>
      <w:r>
        <w:t>Méthodologie</w:t>
      </w:r>
    </w:p>
    <w:p>
      <w:pPr/>
      <w:r>
        <w:t>Ce rapport a été élaboré en conformité avec les principes des standards GRI pour garantir la transparence et la comparabilité des informations.</w:t>
      </w:r>
    </w:p>
    <w:p>
      <w:pPr/>
      <w:r>
        <w:t>Périmètre et Période  Les données couvrent les activités opérationnelles de l'usine de Casablanca pour les mois de janvier et février 2025.</w:t>
        <w:br/>
        <w:t xml:space="preserve">   Référentiel  La structure s'inspire des standards GRI, notamment </w:t>
        <w:br/>
        <w:t xml:space="preserve">       GRI 302 Energy 2016</w:t>
        <w:br/>
        <w:t xml:space="preserve">       GRI 303 Water and Effluents 2018</w:t>
        <w:br/>
        <w:t xml:space="preserve">       GRI 306 Waste 2020</w:t>
        <w:br/>
        <w:t xml:space="preserve">   Sources de données </w:t>
        <w:br/>
        <w:t xml:space="preserve">       Énergie et Eau  Relevés mensuels des compteurs principaux de l'usine.</w:t>
        <w:br/>
        <w:t xml:space="preserve">       Production  Données extraites du système de suivi de la production (ERP).</w:t>
        <w:br/>
        <w:t xml:space="preserve">       Déchets  Registres de pesée fournis par notre prestataire de gestion des déchets.</w:t>
      </w:r>
    </w:p>
    <w:p>
      <w:pPr>
        <w:pStyle w:val="Heading2"/>
      </w:pPr>
      <w:r>
        <w:t>Section Environnement</w:t>
      </w:r>
    </w:p>
    <w:p>
      <w:pPr/>
      <w:r>
        <w:t>Notre engagement est de dissocier notre croissance de notre impact environnemental. Les indicateurs de l'usine de Casablanca pour cette période montrent une tendance positive vers cet objectif.</w:t>
      </w:r>
    </w:p>
    <w:p>
      <w:pPr/>
      <w:r>
        <w:t>Indicateurs de performance clés (KPIs)</w:t>
      </w:r>
    </w:p>
    <w:p>
      <w:pPr/>
      <w:r>
        <w:t xml:space="preserve">Indicateur  Janvier 2025  Février 2025  Évolution </w:t>
        <w:br/>
        <w:t xml:space="preserve">        </w:t>
        <w:br/>
        <w:t xml:space="preserve"> Production (kg)  26 500  28 000  +5,7 % </w:t>
        <w:br/>
        <w:t xml:space="preserve"> Consommation d'énergie (kWh)  15 800  15 000  5,1 % </w:t>
        <w:br/>
        <w:t xml:space="preserve"> Consommation d'eau (m³)  3 500  3 400  2,9 % </w:t>
        <w:br/>
        <w:t xml:space="preserve"> Déchets générés (kg)  480  320  33,3 %</w:t>
      </w:r>
    </w:p>
    <w:p>
      <w:pPr/>
      <w:r>
        <w:t>Analyse de la performance</w:t>
      </w:r>
    </w:p>
    <w:p>
      <w:pPr/>
      <w:r>
        <w:t>L'analyse des ratios d'intensité confirme une amélioration significative de notre efficacité opérationnelle</w:t>
      </w:r>
    </w:p>
    <w:p>
      <w:pPr/>
      <w:r>
        <w:t>Intensité énergétique  Passée de 0,60 kWh/kg produit en janvier à 0,54 kWh/kg en février. Cette baisse reflète les bénéfices de nos actions d'optimisation des réglages machine et de maintenance préventive.</w:t>
        <w:br/>
        <w:t xml:space="preserve">   Intensité hydrique  Réduite de 0,132 m³/kg à 0,121 m³/kg, grâce à une campagne de détection des fuites et de sensibilisation des équipes.</w:t>
        <w:br/>
        <w:t xml:space="preserve">   Ratio de déchets  La réduction drastique des déchets (de 0,018 kg/kg à 0,011 kg/kg) est le résultat direct d'une nouvelle initiative de tri à la source et d'optimisation des découpes de matière première, minimisant les chutes.</w:t>
      </w:r>
    </w:p>
    <w:p>
      <w:pPr/>
      <w:r>
        <w:t>La performance globale est excellente  nous avons produit plus en consommant moins de ressources et en générant significativement moins de déchets.</w:t>
      </w:r>
    </w:p>
    <w:p>
      <w:pPr>
        <w:pStyle w:val="Heading2"/>
      </w:pPr>
      <w:r>
        <w:t>Section Social</w:t>
      </w:r>
    </w:p>
    <w:p>
      <w:pPr/>
      <w:r>
        <w:t>Nous plaçons le bienêtre, la sécurité et le développement de nos collaborateurs au cœur de notre stratégie. Pour cette période, bien que les données chiffrées soient en cours de consolidation, les actions suivantes ont été menées.</w:t>
      </w:r>
    </w:p>
    <w:p>
      <w:pPr/>
      <w:r>
        <w:t>Indicateurs de performance clés (KPIs) suivis</w:t>
      </w:r>
    </w:p>
    <w:p>
      <w:pPr/>
      <w:r>
        <w:t>Taux de fréquence et de gravité des accidents du travail (objectif  zéro accident).</w:t>
        <w:br/>
        <w:t xml:space="preserve">   Heures de formation par employé.</w:t>
        <w:br/>
        <w:t xml:space="preserve">   Taux de turnover.</w:t>
        <w:br/>
        <w:t xml:space="preserve">   Indice d'égalité professionnelle.</w:t>
      </w:r>
    </w:p>
    <w:p>
      <w:pPr/>
      <w:r>
        <w:t>Actions notables (JanvierFévrier 2025)</w:t>
      </w:r>
    </w:p>
    <w:p>
      <w:pPr/>
      <w:r>
        <w:t>1.  Sécurité  Organisation de "causeries sécurité" hebdomadaires sur le port des Équipements de Protection Individuelle (EPI). Aucun accident avec arrêt n'a été déclaré sur la période.</w:t>
        <w:br/>
        <w:t>2.  Formation  Lancement d'un module de formation en ligne sur notre nouveau code de conduite éthique, suivi par 85 % des collaborateurs concernés.</w:t>
        <w:br/>
        <w:t>3.  Dialogue social  Tenue des réunions mensuelles avec les représentants du personnel pour discuter des conditions de travail et des projets à venir.</w:t>
      </w:r>
    </w:p>
    <w:p>
      <w:pPr>
        <w:pStyle w:val="Heading2"/>
      </w:pPr>
      <w:r>
        <w:t>Gouvernance</w:t>
      </w:r>
    </w:p>
    <w:p>
      <w:pPr/>
      <w:r>
        <w:t>Notre gouvernance RSE est structurée pour assurer que nos engagements sont intégrés à tous les niveaux de l'organisation.</w:t>
      </w:r>
    </w:p>
    <w:p>
      <w:pPr/>
      <w:r>
        <w:t>Pilotage RSE  Un comité RSE, supervisé par la Direction du site, se réunit trimestriellement pour analyser la performance et définir les plans d'action.</w:t>
        <w:br/>
        <w:t xml:space="preserve">   Éthique des affaires  Notre Code de Conduite, mis à jour en décembre 2024, a été déployé auprès de tous les employés. Il inclut une politique de tolérance zéro envers la corruption.</w:t>
        <w:br/>
        <w:t xml:space="preserve">   Parties prenantes  Nous maintenons un dialogue ouvert avec nos parties prenantes clés (employés, fournisseurs, autorités locales) pour comprendre leurs attentes et y répondre de manière proactive.</w:t>
        <w:br/>
        <w:t xml:space="preserve">   Transparence  Ce rapport est une première étape vers une communication plus régulière et transparente sur notre performance extrafinancière.</w:t>
      </w:r>
    </w:p>
    <w:p>
      <w:pPr>
        <w:pStyle w:val="Heading2"/>
      </w:pPr>
      <w:r>
        <w:t>Alignement avec les Objectifs de Développement Durable (ODD)</w:t>
      </w:r>
    </w:p>
    <w:p>
      <w:pPr/>
      <w:r>
        <w:t>Nos actions sur le site de Casablanca contribuent directement à plusieurs ODD des Nations Unies</w:t>
      </w:r>
    </w:p>
    <w:p>
      <w:pPr/>
      <w:r>
        <w:t>ODD 6 (Eau propre et assainissement)  Par nos efforts continus pour réduire notre consommation d'eau.</w:t>
        <w:br/>
        <w:t xml:space="preserve">   ODD 7 (Énergie propre et d'un coût abordable)  En améliorant notre efficacité énergétique et en réduisant notre consommation.</w:t>
        <w:br/>
        <w:t xml:space="preserve">   ODD 8 (Travail décent et croissance économique)  En garantissant un environnement de travail sûr et en investissant dans la formation de nos collaborateurs.</w:t>
        <w:br/>
        <w:t xml:space="preserve">   ODD 12 (Consommation et production responsables)  Au travers de notre remarquable performance en matière d'efficacité des ressources (énergie, eau) et de réduction des déchets.</w:t>
      </w:r>
    </w:p>
    <w:p>
      <w:pPr>
        <w:pStyle w:val="Heading2"/>
      </w:pPr>
      <w:r>
        <w:t>Recommandations</w:t>
      </w:r>
    </w:p>
    <w:p>
      <w:pPr/>
      <w:r>
        <w:t>Pour capitaliser sur cette dynamique positive, les actions suivantes sont recommandées</w:t>
      </w:r>
    </w:p>
    <w:p>
      <w:pPr/>
      <w:r>
        <w:t>1.  Analyser et Répliquer  Mener une analyse approfondie pour identifier les causes exactes de la forte réduction des déchets en février afin de systématiser ces bonnes pratiques.</w:t>
        <w:br/>
        <w:t>2.  Structurer la Collecte de Données Sociales  Mettre en place un processus de collecte mensuelle fiable pour les KPIs sociaux (heures de formation, taux de fréquence, etc.) afin de les intégrer quantitativement au prochain rapport.</w:t>
        <w:br/>
        <w:t>3.  Fixer des Objectifs Ambitieux  Sur la base de cette performance, établir des objectifs chiffrés pour le prochain semestre en matière de réduction de l'intensité énergétique et hydrique.</w:t>
        <w:br/>
        <w:t>4.  Valorisation Interne  Communiquer activement ces excellents résultats aux équipes de l'usine pour les féliciter et renforcer leur engagement en faveur de la démarche RSE.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