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Rapport de Durabilité ExtraFinancier – Entreprise InnovSolutions SA</w:t>
      </w:r>
    </w:p>
    <w:p>
      <w:pPr/>
      <w:r>
        <w:t>Période de reporting  1er janvier 2025 – 29 février 2025</w:t>
        <w:br/>
        <w:t>Périmètre  Site de production de Casablanca</w:t>
        <w:br/>
        <w:t>Référentiel  Corporate Sustainability Reporting Directive (CSRD)</w:t>
      </w:r>
    </w:p>
    <w:p>
      <w:pPr>
        <w:pStyle w:val="Heading2"/>
      </w:pPr>
      <w:r>
        <w:t>Résumé exécutif</w:t>
      </w:r>
    </w:p>
    <w:p>
      <w:pPr/>
      <w:r>
        <w:t>Ce premier rapport de durabilité pour la période de janvierfévrier 2025 pour notre site de Casablanca marque une étape clé dans notre démarche de transparence, conformément à la directive CSRD. Les résultats de ces deux mois sont particulièrement encourageants. Malgré une augmentation de la production de près de 6 %, nous observons une diminution de la consommation d'énergie (5 %) et d'eau (3 %), ainsi qu'une réduction spectaculaire des déchets générés (33 %). Ces performances témoignent d'un découplage réussi entre notre croissance et notre impact environnemental, grâce à des initiatives d'efficacité opérationnelle. Ce rapport identifie également les axes de progrès, notamment la formalisation du suivi des indicateurs sociaux et le renforcement de notre gouvernance RSE. Nos actions s'alignent directement avec les ODD 7, 12 et 6, affirmant notre engagement pour une croissance responsable.</w:t>
      </w:r>
    </w:p>
    <w:p>
      <w:pPr>
        <w:pStyle w:val="Heading2"/>
      </w:pPr>
      <w:r>
        <w:t>Méthodologie</w:t>
      </w:r>
    </w:p>
    <w:p>
      <w:pPr/>
      <w:r>
        <w:t>Ce rapport a été élaboré en s'inspirant des standards européens de reporting de durabilité (ESRS) prévus par la CSRD. L'objectif est de fournir une information transparente et comparable sur nos impacts, risques et opportunités en matière de durabilité.</w:t>
      </w:r>
    </w:p>
    <w:p>
      <w:pPr/>
      <w:r>
        <w:t xml:space="preserve">Périmètre et période </w:t>
        <w:br/>
        <w:t>Les données concernent exclusivement les activités opérationnelles du site de production de Casablanca pour la période du 1er janvier au 29 février 2025.</w:t>
      </w:r>
    </w:p>
    <w:p>
      <w:pPr/>
      <w:r>
        <w:t xml:space="preserve">Sources des données </w:t>
        <w:br/>
        <w:t xml:space="preserve">Les indicateurs présentés sont issus de systèmes de suivi internes et vérifiables </w:t>
        <w:br/>
        <w:t xml:space="preserve">   Énergie  Relevés mensuels des compteurs électriques principaux du site (en kWh).</w:t>
        <w:br/>
        <w:t xml:space="preserve">   Eau  Relevés mensuels des compteurs d'eau du réseau public (en m³).</w:t>
        <w:br/>
        <w:t xml:space="preserve">   Déchets  Registres de pesée des déchets non dangereux collectés par notre prestataire externe (en kg).</w:t>
        <w:br/>
        <w:t xml:space="preserve">   Production  Données extraites de notre système de gestion de la production (ERP), mesurées en poids total des produits finis (en kg).</w:t>
      </w:r>
    </w:p>
    <w:p>
      <w:pPr>
        <w:pStyle w:val="Heading2"/>
      </w:pPr>
      <w:r>
        <w:t>Section Environnement</w:t>
      </w:r>
    </w:p>
    <w:p>
      <w:pPr/>
      <w:r>
        <w:t>Cette section analyse notre performance environnementale en se concentrant sur les consommations de ressources et la génération de déchets. L'indicateur clé est l'intensité, qui rapporte la consommation ou la génération à l'unité de production (kg).</w:t>
      </w:r>
    </w:p>
    <w:p>
      <w:pPr/>
      <w:r>
        <w:t>Indicateurs de Performance Clés (KPIs) Environnementaux</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Indicateur</w:t>
            </w:r>
          </w:p>
        </w:tc>
        <w:tc>
          <w:tcPr>
            <w:tcW w:type="dxa" w:w="1728"/>
          </w:tcPr>
          <w:p>
            <w:r>
              <w:rPr>
                <w:b/>
              </w:rPr>
              <w:t>Unité</w:t>
            </w:r>
          </w:p>
        </w:tc>
        <w:tc>
          <w:tcPr>
            <w:tcW w:type="dxa" w:w="1728"/>
          </w:tcPr>
          <w:p>
            <w:r>
              <w:rPr>
                <w:b/>
              </w:rPr>
              <w:t>Janvier 2025</w:t>
            </w:r>
          </w:p>
        </w:tc>
        <w:tc>
          <w:tcPr>
            <w:tcW w:type="dxa" w:w="1728"/>
          </w:tcPr>
          <w:p>
            <w:r>
              <w:rPr>
                <w:b/>
              </w:rPr>
              <w:t>Février 2025</w:t>
            </w:r>
          </w:p>
        </w:tc>
        <w:tc>
          <w:tcPr>
            <w:tcW w:type="dxa" w:w="1728"/>
          </w:tcPr>
          <w:p>
            <w:r>
              <w:rPr>
                <w:b/>
              </w:rPr>
              <w:t>Variation (Absolue)</w:t>
            </w:r>
          </w:p>
        </w:tc>
      </w:tr>
      <w:tr>
        <w:tc>
          <w:tcPr>
            <w:tcW w:type="dxa" w:w="1728"/>
          </w:tcPr>
          <w:p>
            <w:r>
              <w:t>Production</w:t>
            </w:r>
          </w:p>
        </w:tc>
        <w:tc>
          <w:tcPr>
            <w:tcW w:type="dxa" w:w="1728"/>
          </w:tcPr>
          <w:p>
            <w:r>
              <w:t>kg</w:t>
            </w:r>
          </w:p>
        </w:tc>
        <w:tc>
          <w:tcPr>
            <w:tcW w:type="dxa" w:w="1728"/>
          </w:tcPr>
          <w:p>
            <w:r>
              <w:t>26 500</w:t>
            </w:r>
          </w:p>
        </w:tc>
        <w:tc>
          <w:tcPr>
            <w:tcW w:type="dxa" w:w="1728"/>
          </w:tcPr>
          <w:p>
            <w:r>
              <w:t>28 000</w:t>
            </w:r>
          </w:p>
        </w:tc>
        <w:tc>
          <w:tcPr>
            <w:tcW w:type="dxa" w:w="1728"/>
          </w:tcPr>
          <w:p>
            <w:r>
              <w:t>+5,7 %</w:t>
            </w:r>
          </w:p>
        </w:tc>
      </w:tr>
      <w:tr>
        <w:tc>
          <w:tcPr>
            <w:tcW w:type="dxa" w:w="1728"/>
          </w:tcPr>
          <w:p>
            <w:r>
              <w:t>Consommation d'énergie</w:t>
            </w:r>
          </w:p>
        </w:tc>
        <w:tc>
          <w:tcPr>
            <w:tcW w:type="dxa" w:w="1728"/>
          </w:tcPr>
          <w:p>
            <w:r>
              <w:t>kWh</w:t>
            </w:r>
          </w:p>
        </w:tc>
        <w:tc>
          <w:tcPr>
            <w:tcW w:type="dxa" w:w="1728"/>
          </w:tcPr>
          <w:p>
            <w:r>
              <w:t>15 800</w:t>
            </w:r>
          </w:p>
        </w:tc>
        <w:tc>
          <w:tcPr>
            <w:tcW w:type="dxa" w:w="1728"/>
          </w:tcPr>
          <w:p>
            <w:r>
              <w:t>15 000</w:t>
            </w:r>
          </w:p>
        </w:tc>
        <w:tc>
          <w:tcPr>
            <w:tcW w:type="dxa" w:w="1728"/>
          </w:tcPr>
          <w:p>
            <w:r>
              <w:t>5,1 %</w:t>
            </w:r>
          </w:p>
        </w:tc>
      </w:tr>
      <w:tr>
        <w:tc>
          <w:tcPr>
            <w:tcW w:type="dxa" w:w="1728"/>
          </w:tcPr>
          <w:p>
            <w:r>
              <w:t>Consommation d'eau</w:t>
            </w:r>
          </w:p>
        </w:tc>
        <w:tc>
          <w:tcPr>
            <w:tcW w:type="dxa" w:w="1728"/>
          </w:tcPr>
          <w:p>
            <w:r>
              <w:t>m³</w:t>
            </w:r>
          </w:p>
        </w:tc>
        <w:tc>
          <w:tcPr>
            <w:tcW w:type="dxa" w:w="1728"/>
          </w:tcPr>
          <w:p>
            <w:r>
              <w:t>3 500</w:t>
            </w:r>
          </w:p>
        </w:tc>
        <w:tc>
          <w:tcPr>
            <w:tcW w:type="dxa" w:w="1728"/>
          </w:tcPr>
          <w:p>
            <w:r>
              <w:t>3 400</w:t>
            </w:r>
          </w:p>
        </w:tc>
        <w:tc>
          <w:tcPr>
            <w:tcW w:type="dxa" w:w="1728"/>
          </w:tcPr>
          <w:p>
            <w:r>
              <w:t>2,9 %</w:t>
            </w:r>
          </w:p>
        </w:tc>
      </w:tr>
      <w:tr>
        <w:tc>
          <w:tcPr>
            <w:tcW w:type="dxa" w:w="1728"/>
          </w:tcPr>
          <w:p>
            <w:r>
              <w:t>Génération de déchets</w:t>
            </w:r>
          </w:p>
        </w:tc>
        <w:tc>
          <w:tcPr>
            <w:tcW w:type="dxa" w:w="1728"/>
          </w:tcPr>
          <w:p>
            <w:r>
              <w:t>kg</w:t>
            </w:r>
          </w:p>
        </w:tc>
        <w:tc>
          <w:tcPr>
            <w:tcW w:type="dxa" w:w="1728"/>
          </w:tcPr>
          <w:p>
            <w:r>
              <w:t>480</w:t>
            </w:r>
          </w:p>
        </w:tc>
        <w:tc>
          <w:tcPr>
            <w:tcW w:type="dxa" w:w="1728"/>
          </w:tcPr>
          <w:p>
            <w:r>
              <w:t>320</w:t>
            </w:r>
          </w:p>
        </w:tc>
        <w:tc>
          <w:tcPr>
            <w:tcW w:type="dxa" w:w="1728"/>
          </w:tcPr>
          <w:p>
            <w:r>
              <w:t>33,3 %</w:t>
            </w:r>
          </w:p>
        </w:tc>
      </w:tr>
      <w:tr>
        <w:tc>
          <w:tcPr>
            <w:tcW w:type="dxa" w:w="1728"/>
          </w:tcPr>
          <w:p>
            <w:r>
              <w:t>Intensité Énergétique</w:t>
            </w:r>
          </w:p>
        </w:tc>
        <w:tc>
          <w:tcPr>
            <w:tcW w:type="dxa" w:w="1728"/>
          </w:tcPr>
          <w:p>
            <w:r>
              <w:t>kWh/kg produit</w:t>
            </w:r>
          </w:p>
        </w:tc>
        <w:tc>
          <w:tcPr>
            <w:tcW w:type="dxa" w:w="1728"/>
          </w:tcPr>
          <w:p>
            <w:r>
              <w:t>0,596</w:t>
            </w:r>
          </w:p>
        </w:tc>
        <w:tc>
          <w:tcPr>
            <w:tcW w:type="dxa" w:w="1728"/>
          </w:tcPr>
          <w:p>
            <w:r>
              <w:t>0,536</w:t>
            </w:r>
          </w:p>
        </w:tc>
        <w:tc>
          <w:tcPr>
            <w:tcW w:type="dxa" w:w="1728"/>
          </w:tcPr>
          <w:p>
            <w:r>
              <w:t>10,1 %</w:t>
            </w:r>
          </w:p>
        </w:tc>
      </w:tr>
      <w:tr>
        <w:tc>
          <w:tcPr>
            <w:tcW w:type="dxa" w:w="1728"/>
          </w:tcPr>
          <w:p>
            <w:r>
              <w:t>Intensité Eau</w:t>
            </w:r>
          </w:p>
        </w:tc>
        <w:tc>
          <w:tcPr>
            <w:tcW w:type="dxa" w:w="1728"/>
          </w:tcPr>
          <w:p>
            <w:r>
              <w:t>m³/kg produit</w:t>
            </w:r>
          </w:p>
        </w:tc>
        <w:tc>
          <w:tcPr>
            <w:tcW w:type="dxa" w:w="1728"/>
          </w:tcPr>
          <w:p>
            <w:r>
              <w:t>0,132</w:t>
            </w:r>
          </w:p>
        </w:tc>
        <w:tc>
          <w:tcPr>
            <w:tcW w:type="dxa" w:w="1728"/>
          </w:tcPr>
          <w:p>
            <w:r>
              <w:t>0,121</w:t>
            </w:r>
          </w:p>
        </w:tc>
        <w:tc>
          <w:tcPr>
            <w:tcW w:type="dxa" w:w="1728"/>
          </w:tcPr>
          <w:p>
            <w:r>
              <w:t>8,3 %</w:t>
            </w:r>
          </w:p>
        </w:tc>
      </w:tr>
      <w:tr>
        <w:tc>
          <w:tcPr>
            <w:tcW w:type="dxa" w:w="1728"/>
          </w:tcPr>
          <w:p>
            <w:r>
              <w:t>Intensité Déchets</w:t>
            </w:r>
          </w:p>
        </w:tc>
        <w:tc>
          <w:tcPr>
            <w:tcW w:type="dxa" w:w="1728"/>
          </w:tcPr>
          <w:p>
            <w:r>
              <w:t>kg/kg produit</w:t>
            </w:r>
          </w:p>
        </w:tc>
        <w:tc>
          <w:tcPr>
            <w:tcW w:type="dxa" w:w="1728"/>
          </w:tcPr>
          <w:p>
            <w:r>
              <w:t>0,018</w:t>
            </w:r>
          </w:p>
        </w:tc>
        <w:tc>
          <w:tcPr>
            <w:tcW w:type="dxa" w:w="1728"/>
          </w:tcPr>
          <w:p>
            <w:r>
              <w:t>0,011</w:t>
            </w:r>
          </w:p>
        </w:tc>
        <w:tc>
          <w:tcPr>
            <w:tcW w:type="dxa" w:w="1728"/>
          </w:tcPr>
          <w:p>
            <w:r>
              <w:t>38,9 %</w:t>
            </w:r>
          </w:p>
        </w:tc>
      </w:tr>
    </w:tbl>
    <w:p/>
    <w:p>
      <w:pPr/>
      <w:r>
        <w:t>Analyse de la performance environnementale</w:t>
      </w:r>
    </w:p>
    <w:p>
      <w:pPr/>
      <w:r>
        <w:t>La performance du site de Casablanca sur cette période est excellente. Nous observons un découplage significatif entre la croissance de la production (+5,7 %) et notre empreinte environnementale.</w:t>
      </w:r>
    </w:p>
    <w:p>
      <w:pPr/>
      <w:r>
        <w:t>1.  Efficacité énergétique  L'intensité énergétique s'est améliorée de plus de 10 %. Cette performance peut être attribuée aux récents programmes de maintenance préventive et à l'optimisation des plannings de production pour éviter les pics de consommation.</w:t>
        <w:br/>
        <w:t>2.  Gestion de l'eau  La réduction de l'intensité de consommation d'eau de 8,3 % suggère que les campagnes de sensibilisation et les vérifications des fuites portent leurs fruits.</w:t>
        <w:br/>
        <w:t>3.  Réduction des déchets  La baisse de près de 40 % de l'intensité des déchets est le résultat le plus marquant. Il est probable que des initiatives d'amélioration des processus aient permis de réduire les rebuts de production à la source.</w:t>
      </w:r>
    </w:p>
    <w:p>
      <w:pPr>
        <w:pStyle w:val="Heading2"/>
      </w:pPr>
      <w:r>
        <w:t>Section Social</w:t>
      </w:r>
    </w:p>
    <w:p>
      <w:pPr/>
      <w:r>
        <w:t>Pour cette période de reporting pilote, les données quantitatives sociales n'ont pas encore été consolidées. Cependant, des actions significatives ont été menées pour renforcer notre engagement envers nos collaborateurs.</w:t>
      </w:r>
    </w:p>
    <w:p>
      <w:pPr/>
      <w:r>
        <w:t xml:space="preserve">Indicateurs Clés (à suivre pour les prochains rapports) </w:t>
        <w:br/>
        <w:t xml:space="preserve">   Taux de fréquence et de gravité des accidents du travail.</w:t>
        <w:br/>
        <w:t xml:space="preserve">   Nombre d'heures de formation par salarié.</w:t>
        <w:br/>
        <w:t xml:space="preserve">   Taux de turnover.</w:t>
        <w:br/>
        <w:t xml:space="preserve">   Indice d'égalité salariale FemmesHommes.</w:t>
      </w:r>
    </w:p>
    <w:p>
      <w:pPr/>
      <w:r>
        <w:t xml:space="preserve">Actions mises en œuvre (janvierfévrier 2025) </w:t>
        <w:br/>
        <w:t xml:space="preserve">   Santé et Sécurité  Lancement d'une campagne "zéro accident" avec des ateliers de sensibilisation aux risques sur les postes de travail.</w:t>
        <w:br/>
        <w:t xml:space="preserve">   Dialogue Social  Organisation de réunions mensuelles avec les représentants du personnel pour discuter des conditions de travail et des projets à venir.</w:t>
        <w:br/>
        <w:t xml:space="preserve">   Développement des Compétences  Identification des besoins en formation pour l'année 2025 via des entretiens individuels.</w:t>
      </w:r>
    </w:p>
    <w:p>
      <w:pPr>
        <w:pStyle w:val="Heading2"/>
      </w:pPr>
      <w:r>
        <w:t>Gouvernance</w:t>
      </w:r>
    </w:p>
    <w:p>
      <w:pPr/>
      <w:r>
        <w:t>Notre gouvernance RSE est supervisée par le Comité de Direction, qui a mandaté un Responsable RSE pour piloter la stratégie de durabilité.</w:t>
        <w:br/>
        <w:t xml:space="preserve">   Responsabilité  Les objectifs RSE, y compris les cibles de réduction environnementale, sont intégrés dans les évaluations de performance du directeur du site de Casablanca.</w:t>
        <w:br/>
        <w:t xml:space="preserve">   Éthique  Notre code de conduite, incluant des politiques anticorruption et de respect des droits humains, a été rappelé à l'ensemble des collaborateurs en janvier 2025.</w:t>
        <w:br/>
        <w:t xml:space="preserve">   Transparence  La mise en place de ce reporting s'inscrit dans notre volonté de renforcer la transparence envers nos parties prenantes, conformément aux exigences de la CSRD.</w:t>
      </w:r>
    </w:p>
    <w:p>
      <w:pPr>
        <w:pStyle w:val="Heading2"/>
      </w:pPr>
      <w:r>
        <w:t>Alignement avec les Objectifs de Développement Durable (ODD)</w:t>
      </w:r>
    </w:p>
    <w:p>
      <w:pPr/>
      <w:r>
        <w:t xml:space="preserve">Nos performances et actions sur la période contribuent directement à plusieurs ODD des Nations Unies </w:t>
        <w:br/>
        <w:t xml:space="preserve">   ODD 7 (Énergie propre et d'un coût abordable)  Nos efforts pour améliorer notre efficacité énergétique réduisent notre dépendance aux ressources et soutiennent une production plus sobre.</w:t>
        <w:br/>
        <w:t xml:space="preserve">   ODD 12 (Consommation et production responsables)  La réduction drastique de nos déchets par unité produite et notre meilleure gestion des ressources sont au cœur de cet objectif.</w:t>
        <w:br/>
        <w:t xml:space="preserve">   ODD 6 (Eau propre et assainissement)  Notre gestion plus efficiente de l'eau contribue à la préservation de cette ressource essentielle.</w:t>
        <w:br/>
        <w:t xml:space="preserve">   ODD 8 (Travail décent et croissance économique)  En améliorant nos processus, nous assurons la pérennité de notre activité tout en veillant à la sécurité et au bienêtre de nos employés.</w:t>
      </w:r>
    </w:p>
    <w:p>
      <w:pPr>
        <w:pStyle w:val="Heading2"/>
      </w:pPr>
      <w:r>
        <w:t>Recommandations</w:t>
      </w:r>
    </w:p>
    <w:p>
      <w:pPr/>
      <w:r>
        <w:t xml:space="preserve">Sur la base de cette première analyse, les recommandations suivantes sont formulées </w:t>
        <w:br/>
        <w:t>1.  Environnement  Analyser en détail les causes de la forte réduction des déchets afin de pérenniser et de répliquer ces bonnes pratiques. Fixer des objectifs quantitatifs de réduction pour l'ensemble de l'année 2025.</w:t>
        <w:br/>
        <w:t>2.  Social  Mettre en place de manière urgente un système de collecte fiable et mensuel pour les indicateurs sociaux clés (accidents, formation, etc.) afin de les intégrer au prochain rapport.</w:t>
        <w:br/>
        <w:t>3.  Gouvernance  Formaliser un comité RSE au niveau du site pour assurer un suivi régulier des performances et piloter les plans d'action locaux.</w:t>
      </w:r>
    </w:p>
    <w:p>
      <w:pPr>
        <w:pStyle w:val="Heading2"/>
      </w:pPr>
      <w:r>
        <w:t>Conclusion</w:t>
      </w:r>
    </w:p>
    <w:p>
      <w:pPr/>
      <w:r>
        <w:t>Ce premier rapport extrafinancier pour le site de Casablanca démontre des progrès remarquables en matière d'efficacité des ressources sur une période de production croissante. Les résultats positifs en matière d'énergie, d'eau et de déchets valident notre stratégie opérationnelle et notre engagement RSE. Le défi pour les mois à venir sera de maintenir cette dynamique, de structurer rigoureusement notre reporting social et de renforcer l'ancrage de la durabilité dans notre gouvernance. Nous sommes convaincus que cette démarche de transparence, guidée par la CSRD, est un levier de performance durable et de confiance pour nos parties prenantes.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