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1340"/>
        <w:gridCol w:w="2000"/>
        <w:gridCol w:w="2612"/>
        <w:gridCol w:w="2661"/>
        <w:gridCol w:w="1736"/>
        <w:gridCol w:w="1080"/>
        <w:gridCol w:w="1999"/>
      </w:tblGrid>
      <w:tr>
        <w:trPr>
          <w:trHeight w:val="617" w:hRule="auto"/>
          <w:tblHeader/>
        </w:trPr>
        <w:tc>
          <w:tcPr>
            <w:gridSpan w:val="7"/>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Rosenbaum’s primal sensitivity analysis for pain in the matched cohort.</w:t>
            </w:r>
          </w:p>
        </w:tc>
      </w:tr>
      <w:tr>
        <w:trPr>
          <w:trHeight w:val="617"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Outcome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Discordant pairs</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Control only events (x)</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Treated only events (y)</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P-value (Γ=1)</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Γmax</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P-value at Γmax</w:t>
            </w:r>
          </w:p>
        </w:tc>
      </w:tr>
      <w:tr>
        <w:trPr>
          <w:trHeight w:val="61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PAIN_ms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0.039</w:t>
            </w:r>
          </w:p>
        </w:tc>
      </w:tr>
      <w:tr>
        <w:trPr>
          <w:trHeight w:val="612"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PAIN_s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0.046</w:t>
            </w:r>
          </w:p>
        </w:tc>
      </w:tr>
      <w:tr>
        <w:trPr>
          <w:trHeight w:val="360" w:hRule="auto"/>
        </w:trPr>
        <w:tc>
          <w:tcPr>
            <w:gridSpan w:val="7"/>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The Gamma value Γ is a measure of sensitivity to hidden bias, representing the magnitude of differential odds of treatment assignment due to an unmeasured confounder that could alter the study conclusion. Γmax refers to the highest value of Γ for which the upper-bound p-value remained below 0.05. P-values correspond to the upper bound.</w:t>
            </w:r>
          </w:p>
        </w:tc>
      </w:tr>
    </w:tbl>
    <w:sectPr>
      <w:pgMar w:header="708" w:bottom="1417" w:top="1417" w:right="1417" w:left="1417"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2026-08-26T14:30:59Z</dcterms:modified>
  <cp:category/>
</cp:coreProperties>
</file>