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28"/>
        <w:gridCol w:w="1976"/>
        <w:gridCol w:w="1976"/>
        <w:gridCol w:w="1976"/>
        <w:gridCol w:w="1181"/>
      </w:tblGrid>
      <w:tr>
        <w:trPr>
          <w:trHeight w:val="73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197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215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(10.9%)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(10.9%)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 (6.00-9.00)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 (4.00-9.00)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 (6.00-9.00)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0.122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236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176 (42.7%)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 (13.6-18.1)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 (13.5-20.8)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13.9 (13.6-15.0)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HISTOINJ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 (89.3%)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 (90.4%)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 (88.4%)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SURGIND2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PREOPVURGRADE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(26.4%)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(34.4%)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(64.6%)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134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 (61.4%)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VURSIDE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 (39.3%)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 (60.7%)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 (61.9%)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UDR7M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 (30.2%)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315 (76.5%)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(69.8%)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VURPHASE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226 (54.9%)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PREOPTYPEU1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404 (98.1%)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 (96.4%)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214 (99.5%)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PREOPEPISODE1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 (33.0%)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290 (70.4%)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 (80.9%)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PREOPRNPLN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 (80.6%)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 (93.5%)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(33.5%)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PREOPRNSCR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 (79.5%)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SURGTECH2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 (66.3%)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(13.1%)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CENTER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290 (70.4%)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187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 (19.7%)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(29.9%)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(10.2%)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Median (Q1-Q3)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test; Wilcoxon rank sum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2026-08-26T11:56:48Z</dcterms:modified>
  <cp:category/>
</cp:coreProperties>
</file>