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Baseline characteristics after 1:1 propensity score matching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428"/>
        <w:gridCol w:w="3261"/>
        <w:gridCol w:w="3261"/>
        <w:gridCol w:w="3261"/>
      </w:tblGrid>
      <w:tr>
        <w:trPr>
          <w:trHeight w:val="734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Overall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194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97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97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2,017.00 (2,014.00-2,019.00)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2,017.00 (2,014.00-2,018.00)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2,017.00 (2,015.00-2,019.00)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8.00 (7.00-9.00)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8.00 (7.00-9.00)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8.00 (6.00-9.00)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GENDER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104 (53.6%)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 (54.6%)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 (52.6%)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 (46.4%)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 (45.4%)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 (47.4%)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14.1 (13.4-16.3)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13.9 (13.2-17.2)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14.1 (13.6-15.4)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HISTOINJ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168 (86.6%)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 (85.6%)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85 (87.6%)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(13.4%)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(14.4%)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(12.4%)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SURGIND2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86 (44.3%)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 (43.3%)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 (45.4%)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77 (39.7%)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 (39.2%)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 (40.2%)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(6.2%)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(2.1%)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(6.2%)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PREOPVURGRADE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(3.1%)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 (29.9%)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(26.8%)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(33.0%)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128 (66.0%)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 (68.0%)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 (63.9%)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VURSIDE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 (37.1%)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 (35.1%)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 (39.2%)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122 (62.9%)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 (64.9%)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 (60.8%)</w:t>
            </w:r>
          </w:p>
        </w:tc>
      </w:tr>
      <w:tr>
        <w:trPr>
          <w:trHeight w:val="57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UDR7M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 (22.2%)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 (20.6%)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 (23.7%)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151 (77.8%)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77 (79.4%)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 (76.3%)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VURPHASE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148 (76.3%)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 (76.3%)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 (76.3%)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 (23.2%)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(22.7%)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 (23.7%)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PREOPTYPEU1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(1.0%)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193 (99.5%)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 (100.0%)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 (99.0%)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PREOPEPISODE1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(4.1%)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 (29.4%)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 (30.9%)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 (27.8%)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127 (65.5%)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 (62.9%)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 (68.0%)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PREOPRNPLN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171 (88.1%)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85 (87.6%)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86 (88.7%)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 (11.9%)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(12.4%)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 (11.3%)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PREOPRNSCR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137 (70.6%)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 (69.1%)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 (72.2%)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 (29.4%)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 (30.9%)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 (27.8%)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SURGTECH2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(8.2%)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160 (82.5%)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 (82.5%)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 (82.5%)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(11.3%)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(13.4%)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(9.3%)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CENTER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146 (75.3%)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 (72.2%)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 (78.4%)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 (5.7%)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(3.1%)</w:t>
            </w:r>
          </w:p>
        </w:tc>
      </w:tr>
      <w:tr>
        <w:trPr>
          <w:trHeight w:val="617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(18.0%)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 (17.5%)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(18.6%)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(Q1-Q3); n (%)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2026-08-22T14:04:19Z</dcterms:modified>
  <cp:category/>
</cp:coreProperties>
</file>