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28"/>
        <w:gridCol w:w="3261"/>
        <w:gridCol w:w="3261"/>
        <w:gridCol w:w="3261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383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 (2,014.00-2,019.00)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 (2,014.00-2,020.00)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 (2,013.00-2,018.00)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 (4.00-9.00)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 (6.00-9.00)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(13.5-17.7)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(13.4-21.0)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 (13.6-14.8)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SURGIND2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PREOPVURGRADE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(24.8%)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 (75.2%)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VURPHASE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218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(99.0%)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(98.3%)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 (99.5%)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PREOPEPISODE1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(70.2%)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 (66.9%)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 (93.7%)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(82.0%)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SURGTECH2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(16.7%)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(27.0%)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(7.8%)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2026-08-22T14:03:32Z</dcterms:modified>
  <cp:category/>
</cp:coreProperties>
</file>