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28"/>
        <w:gridCol w:w="3261"/>
        <w:gridCol w:w="3261"/>
        <w:gridCol w:w="326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(2,014.00-2,019.00)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(2,014.00-2,019.00)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(2,015.00-2,019.00)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 (6.00-9.00)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(54.2%)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(45.8%)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 (13.4-16.3)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 (13.2-17.5)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(13.6-15.4)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(86.8%)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(13.2%)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SURGIND2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(46.5%)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(39.8%)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(6.2%)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PREOPVURGRADE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(65.8%)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(35.7%)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(64.3%)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(24.8%)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(75.2%)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(75.2%)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(75.2%)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(76.4%)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(22.0%)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(99.2%)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(99.2%)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(99.2%)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PREOPEPISODE1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(6.1%)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(63.6%)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(84.6%)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(15.4%)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(73.0%)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(73.0%)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(73.0%)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(27.0%)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SURGTECH2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(83.3%)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(11.3%)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CENTER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(76.3%)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(79.6%)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(6.4%)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(15.8%)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(17.6%)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(14.0%)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2026-08-22T14:03:42Z</dcterms:modified>
  <cp:category/>
</cp:coreProperties>
</file>