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28"/>
        <w:gridCol w:w="3261"/>
        <w:gridCol w:w="3261"/>
        <w:gridCol w:w="3261"/>
      </w:tblGrid>
      <w:tr>
        <w:trPr>
          <w:trHeight w:val="73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 (2,014.00-2,019.00)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 (2,014.00-2,019.00)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 (2,014.00-2,019.00)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(6.00-9.00)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(7.00-9.00)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 (6.00-9.00)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(54.1%)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(54.1%)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(54.1%)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(45.9%)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(45.9%)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(45.9%)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 (13.5-17.4)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 (13.2-17.7)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 (13.6-16.3)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HISTOINJ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(87.1%)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(87.1%)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(87.1%)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(12.9%)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SURGIND2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(46.2%)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(40.1%)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(40.1%)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(40.1%)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(6.6%)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PREOPVURGRADE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(5.9%)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(29.0%)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(65.1%)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VURSIDE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(37.4%)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(37.4%)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(37.4%)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(62.6%)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(62.6%)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(62.6%)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UDR7M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(23.5%)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 (76.5%)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(76.5%)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(76.5%)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VURPHASE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(72.9%)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(72.9%)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(72.9%)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(25.5%)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PREOPTYPEU1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 (98.8%)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(98.8%)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(98.8%)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PREOPEPISODE1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(29.5%)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(64.9%)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PREOPRNPLN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(84.2%)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(84.2%)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(84.2%)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(15.8%)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PREOPRNSCR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(69.8%)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(69.8%)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(69.8%)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(30.2%)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(30.2%)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(30.2%)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SURGTECH2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(82.3%)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(82.3%)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(82.3%)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(11.5%)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(72.9%)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(69.4%)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(76.4%)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(5.8%)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(19.1%)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(20.3%)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(17.8%)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(Q1-Q3);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2026-08-22T14:02:07Z</dcterms:modified>
  <cp:category/>
</cp:coreProperties>
</file>