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57"/>
        <w:gridCol w:w="1609"/>
        <w:gridCol w:w="1670"/>
        <w:gridCol w:w="1609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FUPM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(24-37)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(24-38)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(24-36)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(79.4%)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(71.1%)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CLAVIENCLASS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URCOMPCVUR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(97.3%)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 (80.4%)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(95.9%)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 (76.8%)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(87.6%)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GU90N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GUER30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GUER90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(67.0%)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(88.7%)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REC011_best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REC011_worst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(36.1%)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RECGRADE_MAX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BLDLOSS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(40-100)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(65-110)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(40-80)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BLDSPASM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HEMAT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(80.4%)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(29.4%)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(27.8%)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2026-08-22T14:04:32Z</dcterms:modified>
  <cp:category/>
</cp:coreProperties>
</file>