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8"/>
        <w:gridCol w:w="1976"/>
        <w:gridCol w:w="1976"/>
        <w:gridCol w:w="1976"/>
        <w:gridCol w:w="1181"/>
      </w:tblGrid>
      <w:tr>
        <w:trPr>
          <w:trHeight w:val="73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OPRTIME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(70-135)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 (100-159)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(68-80)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 (67.0%)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(33.0%)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 (97.9%)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(97.9%)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(97.9%)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CATHPERIOD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(2-5)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(4-5)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(1-5)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CATHPERIOD_G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 removal ≤3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Standard removal 4–7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(74.2%)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Delayed removal &gt;7 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HOSPTIME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(3.00-6.00)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 (5.00-6.00)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 (2.00-5.00)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(Q1-Q3);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2026-08-22T14:04:23Z</dcterms:modified>
  <cp:category/>
</cp:coreProperties>
</file>