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18"/>
        <w:gridCol w:w="1988"/>
        <w:gridCol w:w="1951"/>
        <w:gridCol w:w="1266"/>
        <w:gridCol w:w="2246"/>
        <w:gridCol w:w="1206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Effect_measure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0.26–0.45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0.86–1.73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0.04–1.78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0.20–2.48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0.00–0.05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2.19–7.91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1.10–6.93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0.23–1.05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0.01–0.02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0.00–0.00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1.11–17.42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Inf–Inf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0.65–0.80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0.77–1.15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0.06–0.80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0.00–51949750.10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0.26–0.32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0.06–0.10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0.02–0.51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0.00–0.00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0.28–0.79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0.00–2.03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0.06–0.72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0.00–0.00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0.36–0.96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0.08–0.35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0.06–0.80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1.35–4.76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0.07–0.11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0.33–1.26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0.06–1.63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1.40–12.67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0.50–1.45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0.41–2.62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0.947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0.04–2.95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2026-08-25T20:35:19Z</dcterms:modified>
  <cp:category/>
</cp:coreProperties>
</file>