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389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0.69–1.50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2.50–5.52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0.27–0.49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0.17–0.24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0.56–0.89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0.41–1.10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2026-08-22T14:03:02Z</dcterms:modified>
  <cp:category/>
</cp:coreProperties>
</file>