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51"/>
        <w:gridCol w:w="2257"/>
        <w:gridCol w:w="1646"/>
        <w:gridCol w:w="1866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 of Surgery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Lich–Gregoir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Cohen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surgeries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(7.3%)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(10.9%)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(9.7%)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(7.8%)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(10.9%)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(8.3%)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(14.3%)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(8.7%)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(10.7%)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(4.4%)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(100%)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(3.4%)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2026-08-22T14:04:56Z</dcterms:modified>
  <cp:category/>
</cp:coreProperties>
</file>