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2"/>
        <w:gridCol w:w="839"/>
        <w:gridCol w:w="1389"/>
        <w:gridCol w:w="1805"/>
        <w:gridCol w:w="154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E_value_point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E_value_CI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2.21–6.10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0.27–0.69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0.58–0.90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0.04–0.25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7.46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0.16–0.26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OBSTadj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2.50–5.52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URCOMPINJadj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0.27–0.49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SURGadj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0.50–0.81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ILEUSadj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0.17–0.24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GU90adj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0.15–0.21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GU30adj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0.01–0.08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PROC365adj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0.56–0.89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0.14–0.73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0.15–0.26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PAIN_msadj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0.15–0.69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PAIN_sadj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0.10–0.19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2026-09-03T11:43:30Z</dcterms:modified>
  <cp:category/>
</cp:coreProperties>
</file>