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1718"/>
        <w:gridCol w:w="2000"/>
        <w:gridCol w:w="2612"/>
        <w:gridCol w:w="2661"/>
        <w:gridCol w:w="1736"/>
        <w:gridCol w:w="2055"/>
        <w:gridCol w:w="1999"/>
      </w:tblGrid>
      <w:tr>
        <w:trPr>
          <w:trHeight w:val="617" w:hRule="auto"/>
          <w:tblHeader/>
        </w:trPr>
        <w:tc>
          <w:tcPr>
            <w:gridSpan w:val="7"/>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Rosenbaum’s primal sensitivity analysis for postoperative outcomes in the matched cohort.</w:t>
            </w:r>
          </w:p>
        </w:tc>
      </w:tr>
      <w:tr>
        <w:trPr>
          <w:trHeight w:val="617"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Outcome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Discordant pairs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Control only events (x)</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Treated only events (y)</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 (Γ=1)</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Γmax</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 at Γmax</w:t>
            </w:r>
          </w:p>
        </w:tc>
      </w:tr>
      <w:tr>
        <w:trPr>
          <w:trHeight w:val="57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LUTD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NS at Gamma=1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OBST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0.038</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URCOMPINJ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NS at Gamma=1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SURG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NS at Gamma=1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ILEUS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&gt;=11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0.000</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GU30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0.049</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GU90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0.048</w:t>
            </w:r>
          </w:p>
        </w:tc>
      </w:tr>
      <w:tr>
        <w:trPr>
          <w:trHeight w:val="57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PROC365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NS at Gamma=1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r>
      <w:tr>
        <w:trPr>
          <w:trHeight w:val="360" w:hRule="auto"/>
        </w:trPr>
        <w:tc>
          <w:tcPr>
            <w:gridSpan w:val="7"/>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The Gamma value Γ is a measure of sensitivity to hidden bias, representing the magnitude of differential odds of treatment assignment due to an unmeasured confounder that could alter the study conclusion. Γmax refers to the highest value of Γ for which the upper-bound p-value remained below 0.05. P-values correspond to the upper bound.</w:t>
            </w:r>
          </w:p>
        </w:tc>
      </w:tr>
    </w:tbl>
    <w:sectPr>
      <w:pgMar w:header="708" w:bottom="1417" w:top="1417" w:right="1417" w:left="1417"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2026-09-03T11:44:15Z</dcterms:modified>
  <cp:category/>
</cp:coreProperties>
</file>