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1340"/>
        <w:gridCol w:w="2000"/>
        <w:gridCol w:w="2612"/>
        <w:gridCol w:w="2661"/>
        <w:gridCol w:w="1736"/>
        <w:gridCol w:w="1080"/>
        <w:gridCol w:w="1999"/>
      </w:tblGrid>
      <w:tr>
        <w:trPr>
          <w:trHeight w:val="617" w:hRule="auto"/>
          <w:tblHeader/>
        </w:trPr>
        <w:tc>
          <w:tcPr>
            <w:gridSpan w:val="7"/>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Rosenbaum’s primal sensitivity analysis for pain in the matched cohort.</w:t>
            </w:r>
          </w:p>
        </w:tc>
      </w:tr>
      <w:tr>
        <w:trPr>
          <w:trHeight w:val="617"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Outcome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Discordant pairs</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Control only events (x)</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Treated only events (y)</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P-value (Γ=1)</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Γmax</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P-value at Γmax</w:t>
            </w:r>
          </w:p>
        </w:tc>
      </w:tr>
      <w:tr>
        <w:trPr>
          <w:trHeight w:val="612"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PAIN_ms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0.039</w:t>
            </w:r>
          </w:p>
        </w:tc>
      </w:tr>
      <w:tr>
        <w:trPr>
          <w:trHeight w:val="612"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PAIN_s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0.046</w:t>
            </w:r>
          </w:p>
        </w:tc>
      </w:tr>
      <w:tr>
        <w:trPr>
          <w:trHeight w:val="360" w:hRule="auto"/>
        </w:trPr>
        <w:tc>
          <w:tcPr>
            <w:gridSpan w:val="7"/>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The Gamma value Γ is a measure of sensitivity to hidden bias, representing the magnitude of differential odds of treatment assignment due to an unmeasured confounder that could alter the study conclusion. Γmax refers to the highest value of Γ for which the upper-bound p-value remained below 0.05. P-values correspond to the upper bound.</w:t>
            </w:r>
          </w:p>
        </w:tc>
      </w:tr>
    </w:tbl>
    <w:sectPr>
      <w:pgMar w:header="708" w:bottom="1417" w:top="1417" w:right="1417" w:left="1417" w:footer="708" w:gutter="0"/>
      <w:pgSz w:h="16838" w:w="11906"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2026-09-03T11:44:48Z</dcterms:modified>
  <cp:category/>
</cp:coreProperties>
</file>