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28"/>
        <w:gridCol w:w="3261"/>
        <w:gridCol w:w="3261"/>
        <w:gridCol w:w="3261"/>
        <w:gridCol w:w="1181"/>
      </w:tblGrid>
      <w:tr>
        <w:trPr>
          <w:trHeight w:val="7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215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 (2,014.00-2,019.00)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 (2,014.00-2,020.00)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 (2,013.00-2,018.00)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(4.00-9.00)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(13.6-18.1)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 (13.5-20.8)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 (13.6-15.0)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(90.4%)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SURGIND2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PREOPVURGRADE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(69.8%)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 (98.1%)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(96.4%)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 (99.5%)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PREOPEPISODE1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 (70.4%)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(80.6%)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SURGTECH2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 (70.4%)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(19.7%)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2026-09-03T11:40:58Z</dcterms:modified>
  <cp:category/>
</cp:coreProperties>
</file>