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after 1:1 propensity score matching among children who did not receive epidural analgesia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3261"/>
        <w:gridCol w:w="3261"/>
        <w:gridCol w:w="3261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(2,014.50-2,019.00)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(2,015.00-2,019.00)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2,017.50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(7.00-9.00)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 (13.4-15.4)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 (13.2-15.7)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(13.6-15.3)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SURGIND2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(48.9%)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PREOPVURGRADE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(67.8%)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PREOPEPISODE1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(62.2%)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SURGTECH2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(76.7%)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(14.4%)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(15.6%)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(13.3%)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2026-09-03T11:44:29Z</dcterms:modified>
  <cp:category/>
</cp:coreProperties>
</file>