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28"/>
        <w:gridCol w:w="3261"/>
        <w:gridCol w:w="3261"/>
        <w:gridCol w:w="3261"/>
      </w:tblGrid>
      <w:tr>
        <w:trPr>
          <w:trHeight w:val="73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 (2,014.00-2,019.00)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 (2,014.00-2,019.00)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 (2,015.00-2,019.00)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 (6.00-9.00)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 (6.00-9.00)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 (6.00-9.00)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(54.2%)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(54.2%)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(54.2%)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(45.8%)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(45.8%)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(45.8%)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 (13.4-16.3)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 (13.2-17.5)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 (13.6-15.4)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HISTOINJ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(86.8%)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(86.8%)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(86.8%)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(13.2%)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SURGIND2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(46.5%)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(46.5%)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(46.5%)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(39.8%)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(39.8%)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(39.8%)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(5.6%)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(6.2%)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PREOPVURGRADE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(27.6%)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(27.6%)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(27.6%)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(65.8%)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VURSIDE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(35.7%)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(35.7%)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(35.7%)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 (64.3%)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(64.3%)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(64.3%)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UDR7M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(24.8%)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(24.8%)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 (75.2%)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(75.2%)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(75.2%)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VURPHASE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(76.4%)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(76.4%)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(76.4%)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(22.0%)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PREOPTYPEU1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(99.2%)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(99.2%)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(99.2%)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PREOPEPISODE1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(6.1%)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(30.3%)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(30.3%)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(30.3%)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(63.6%)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(63.6%)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(63.6%)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PREOPRNPLN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 (84.6%)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(84.6%)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(84.6%)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(15.4%)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PREOPRNSCR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(73.0%)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(73.0%)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(73.0%)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(27.0%)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SURGTECH2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(5.4%)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(83.3%)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(11.3%)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CENTER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(76.3%)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(72.9%)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(79.6%)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(6.4%)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(15.8%)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(17.6%)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(14.0%)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(Q1-Q3);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2026-09-03T11:43:08Z</dcterms:modified>
  <cp:category/>
</cp:coreProperties>
</file>