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28"/>
        <w:gridCol w:w="3261"/>
        <w:gridCol w:w="3261"/>
        <w:gridCol w:w="3261"/>
      </w:tblGrid>
      <w:tr>
        <w:trPr>
          <w:trHeight w:val="73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120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 (2,014.00-2,019.00)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 (2,014.00-2,019.00)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 (2,014.00-2,019.00)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(6.00-9.00)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(7.00-9.00)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 (6.00-9.00)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(54.1%)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(54.1%)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(54.1%)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(45.9%)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(45.9%)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(45.9%)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(13.5-17.4)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 (13.2-17.7)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(13.6-16.3)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(87.1%)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(12.9%)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SURGIND2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(46.2%)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(40.1%)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(40.1%)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(40.1%)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(6.6%)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PREOPVURGRADE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(5.9%)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(29.0%)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(65.1%)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VURSIDE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(37.4%)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(37.4%)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(37.4%)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(62.6%)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(62.6%)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(62.6%)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UDR7M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(23.5%)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(76.5%)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VURPHASE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(72.9%)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(25.5%)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PREOPTYPEU1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(98.8%)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(98.8%)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(98.8%)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PREOPEPISODE1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(29.5%)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(64.9%)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PREOPRNPLN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(84.2%)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(84.2%)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(84.2%)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(15.8%)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PREOPRNSCR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(69.8%)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(69.8%)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(69.8%)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(30.2%)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SURGTECH2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(82.3%)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(82.3%)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(82.3%)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(11.5%)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CENTER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(69.4%)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(76.4%)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(5.8%)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(19.1%)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(20.3%)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(17.8%)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(Q1-Q3);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2026-09-03T11:41:48Z</dcterms:modified>
  <cp:category/>
</cp:coreProperties>
</file>