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74"/>
        <w:gridCol w:w="1609"/>
        <w:gridCol w:w="1609"/>
        <w:gridCol w:w="1609"/>
        <w:gridCol w:w="1181"/>
      </w:tblGrid>
      <w:tr>
        <w:trPr>
          <w:trHeight w:val="73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412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197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215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FUPM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(24-40)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(24-48)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(24-39)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LUTD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335 (81.3%)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168 (85.3%)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167 (77.7%)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 (18.7%)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 (22.3%)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OBST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371 (90.0%)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187 (94.9%)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184 (85.6%)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(14.4%)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URCOMPINJ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0.714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405 (98.3%)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193 (98.0%)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212 (98.6%)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SURG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0.175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314 (76.2%)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156 (79.2%)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158 (73.5%)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 (23.8%)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 (26.5%)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ILEUS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0.218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385 (93.4%)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181 (91.9%)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204 (94.9%)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CLAVIENCLASS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 (62.6%)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102 (76.1%)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 (52.9%)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 (25.9%)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(14.2%)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 (34.2%)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(11.2%)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(12.3%)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URCOMPCVUR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367 (97.6%)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159 (95.2%)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 (99.5%)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GU30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349 (84.7%)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144 (73.1%)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(95.3%)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 (15.3%)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 (26.9%)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GU90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342 (83.0%)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 (74.1%)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196 (91.2%)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 (25.9%)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GU90N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261 (63.3%)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174 (80.9%)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 (25.9%)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 (29.9%)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(10.2%)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GUER30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316 (76.7%)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116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 (93.0%)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(23.3%)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GUER90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305 (74.0%)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 (56.9%)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193 (89.8%)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 (26.0%)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 (43.1%)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(10.2%)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PROC365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0.658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399 (96.8%)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190 (96.4%)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209 (97.2%)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BLDLOSS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 (40-100)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 (40-100)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 (40-90)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0.057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BLDSPASM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295 (71.6%)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129 (65.5%)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166 (77.2%)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117 (28.4%)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(34.5%)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 (22.8%)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HEMAT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334 (81.1%)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148 (75.1%)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186 (86.5%)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 (24.9%)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POSTUTI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0.058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300 (72.8%)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152 (77.2%)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148 (68.8%)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 (27.2%)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(22.8%)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(31.2%)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(Q1-Q3);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2026-09-03T11:41:17Z</dcterms:modified>
  <cp:category/>
</cp:coreProperties>
</file>