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4"/>
        <w:gridCol w:w="1609"/>
        <w:gridCol w:w="1548"/>
        <w:gridCol w:w="1487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120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FUPM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(24-38)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(24-39)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(13-36)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(82.7%)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(83.6%)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(96.5%)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(99.1%)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(71.5%)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(73.7%)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(97.3%)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CLAVIENCLASS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URCOMPCVUR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(97.3%)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(99.8%)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(66.6%)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GU90N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GUER30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GUER90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(95.3%)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BLDLOSS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(40-100)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(50-100)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(40-80)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BLDSPASM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(71.8%)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HEMAT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(80.4%)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(72.8%)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(27.2%)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(30.6%)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(23.8%)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Design-based KruskalWallis test; Pearson's X^2: Rao &amp; Scott adjustment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2026-09-03T11:42:13Z</dcterms:modified>
  <cp:category/>
</cp:coreProperties>
</file>