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4. Comparison of pain intensity and analgesic use between treatment groups before and after propensity score 1:1 matching.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9"/>
        <w:gridCol w:w="1609"/>
        <w:gridCol w:w="1609"/>
        <w:gridCol w:w="1902"/>
        <w:gridCol w:w="1181"/>
        <w:gridCol w:w="1609"/>
        <w:gridCol w:w="1487"/>
        <w:gridCol w:w="1609"/>
        <w:gridCol w:w="1181"/>
      </w:tblGrid>
      <w:tr>
        <w:trPr>
          <w:trHeight w:val="617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Before matching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After matching</w:t>
            </w:r>
          </w:p>
        </w:tc>
      </w:tr>
      <w:tr>
        <w:trPr>
          <w:trHeight w:val="778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383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Cohen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178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Lich–Gregoir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180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90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Pain score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Mild pain (score 1-3)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(33.2%)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 pain (score 4-6)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 (32.1%)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(34.1%)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(38.9%)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Severe pain (score 7-10)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(33.9%)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Narcotic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 (44.4%)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Non-narcotic use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381 (99.5%)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 (98.9%)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 (99.4%)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(100.0%)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test; Pearson's Chi-squared test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Analysis restricted to patients not receiving epidural analgesia.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2026-09-03T11:44:43Z</dcterms:modified>
  <cp:category/>
</cp:coreProperties>
</file>