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4. Comparison of pain intensity and analgesic use between treatment groups before and after propensity score overlap weighting.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209"/>
        <w:gridCol w:w="1609"/>
        <w:gridCol w:w="1609"/>
        <w:gridCol w:w="1902"/>
        <w:gridCol w:w="1181"/>
        <w:gridCol w:w="1609"/>
        <w:gridCol w:w="1487"/>
        <w:gridCol w:w="1902"/>
        <w:gridCol w:w="1181"/>
      </w:tblGrid>
      <w:tr>
        <w:trPr>
          <w:trHeight w:val="617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Before overlap weighting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After overlap weighting</w:t>
            </w:r>
          </w:p>
        </w:tc>
      </w:tr>
      <w:tr>
        <w:trPr>
          <w:trHeight w:val="778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Overall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383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Cohen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178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Lich–Gregoir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205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Overall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110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Cohen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55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Lich–Gregoir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55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571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Pain score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 pain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Mild pain (score 1-3)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127 (33.2%)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 (25.3%)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82 (40.0%)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 (26.6%)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 (17.4%)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 (35.9%)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Moderate pain (score 4-6)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123 (32.1%)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 (29.8%)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 (34.1%)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 (34.7%)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 (29.2%)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 (40.1%)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Severe pain (score 7-10)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130 (33.9%)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80 (44.9%)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 (24.4%)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 (37.9%)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 (53.4%)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 (22.3%)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Narcotic use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0.285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215 (56.1%)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105 (59.0%)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110 (53.7%)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 (52.0%)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 (48.4%)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 (55.6%)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168 (43.9%)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 (41.0%)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 (46.3%)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 (48.0%)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 (51.6%)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 (44.4%)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Non-narcotic use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0.168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381 (99.5%)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176 (98.9%)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205 (100.0%)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109 (99.3%)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 (98.6%)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 (100.0%)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9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</w:tr>
      <w:tr>
        <w:trPr>
          <w:trHeight w:val="360" w:hRule="auto"/>
        </w:trPr>
        <w:tc>
          <w:tcPr>
            <w:gridSpan w:val="9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Fisher's exact test; Pearson's Chi-squared test</w:t>
            </w:r>
          </w:p>
        </w:tc>
      </w:tr>
      <w:tr>
        <w:trPr>
          <w:trHeight w:val="360" w:hRule="auto"/>
        </w:trPr>
        <w:tc>
          <w:tcPr>
            <w:gridSpan w:val="9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Pearson's X^2: Rao &amp; Scott adjustment</w:t>
            </w:r>
          </w:p>
        </w:tc>
      </w:tr>
      <w:tr>
        <w:trPr>
          <w:trHeight w:val="360" w:hRule="auto"/>
        </w:trPr>
        <w:tc>
          <w:tcPr>
            <w:gridSpan w:val="9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Analysis restricted to patients not receiving epidural analgesia.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2026-09-03T11:43:24Z</dcterms:modified>
  <cp:category/>
</cp:coreProperties>
</file>